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7C6D" w:rsidRPr="000E7AC8" w:rsidRDefault="00454674">
      <w:pPr>
        <w:rPr>
          <w:rFonts w:ascii="Arial" w:eastAsia="Arial" w:hAnsi="Arial" w:cs="Arial"/>
          <w:b/>
          <w:sz w:val="24"/>
          <w:szCs w:val="24"/>
        </w:rPr>
        <w:sectPr w:rsidR="002B7C6D" w:rsidRPr="000E7AC8">
          <w:headerReference w:type="default" r:id="rId9"/>
          <w:footerReference w:type="default" r:id="rId10"/>
          <w:headerReference w:type="first" r:id="rId11"/>
          <w:footerReference w:type="first" r:id="rId12"/>
          <w:pgSz w:w="11906" w:h="16838"/>
          <w:pgMar w:top="2996" w:right="851" w:bottom="1985" w:left="1701" w:header="851" w:footer="2317" w:gutter="0"/>
          <w:pgNumType w:start="1"/>
          <w:cols w:space="720"/>
        </w:sectPr>
      </w:pPr>
      <w:r w:rsidRPr="000E7AC8">
        <w:rPr>
          <w:rFonts w:ascii="Arial" w:eastAsia="Arial" w:hAnsi="Arial" w:cs="Arial"/>
          <w:b/>
          <w:noProof/>
          <w:sz w:val="24"/>
          <w:szCs w:val="24"/>
        </w:rPr>
        <w:drawing>
          <wp:anchor distT="0" distB="0" distL="114300" distR="114300" simplePos="0" relativeHeight="251668480" behindDoc="1" locked="0" layoutInCell="1" allowOverlap="1" wp14:anchorId="032D8580" wp14:editId="04673BBF">
            <wp:simplePos x="0" y="0"/>
            <wp:positionH relativeFrom="page">
              <wp:align>left</wp:align>
            </wp:positionH>
            <wp:positionV relativeFrom="paragraph">
              <wp:posOffset>-1902461</wp:posOffset>
            </wp:positionV>
            <wp:extent cx="7562215" cy="10677525"/>
            <wp:effectExtent l="0" t="0" r="635" b="9525"/>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62698" cy="10678207"/>
                    </a:xfrm>
                    <a:prstGeom prst="rect">
                      <a:avLst/>
                    </a:prstGeom>
                  </pic:spPr>
                </pic:pic>
              </a:graphicData>
            </a:graphic>
            <wp14:sizeRelH relativeFrom="page">
              <wp14:pctWidth>0</wp14:pctWidth>
            </wp14:sizeRelH>
            <wp14:sizeRelV relativeFrom="page">
              <wp14:pctHeight>0</wp14:pctHeight>
            </wp14:sizeRelV>
          </wp:anchor>
        </w:drawing>
      </w:r>
      <w:r w:rsidR="00CA56D3">
        <w:rPr>
          <w:rFonts w:ascii="Arial" w:eastAsia="Arial" w:hAnsi="Arial" w:cs="Arial"/>
          <w:b/>
          <w:sz w:val="24"/>
          <w:szCs w:val="24"/>
        </w:rPr>
        <w:t xml:space="preserve"> </w:t>
      </w:r>
    </w:p>
    <w:p w:rsidR="002B7C6D" w:rsidRPr="000E7AC8" w:rsidRDefault="002B7C6D">
      <w:pPr>
        <w:jc w:val="both"/>
        <w:rPr>
          <w:rFonts w:ascii="Arial" w:eastAsia="Arial" w:hAnsi="Arial" w:cs="Arial"/>
          <w:b/>
          <w:sz w:val="24"/>
          <w:szCs w:val="24"/>
        </w:rPr>
      </w:pPr>
    </w:p>
    <w:p w:rsidR="002B7C6D" w:rsidRPr="000E7AC8" w:rsidRDefault="002B7C6D">
      <w:pPr>
        <w:jc w:val="both"/>
        <w:rPr>
          <w:rFonts w:ascii="Arial" w:eastAsia="Arial" w:hAnsi="Arial" w:cs="Arial"/>
          <w:b/>
          <w:sz w:val="24"/>
          <w:szCs w:val="24"/>
        </w:rPr>
      </w:pPr>
    </w:p>
    <w:p w:rsidR="002B7C6D" w:rsidRPr="000E7AC8" w:rsidRDefault="002B7C6D">
      <w:pPr>
        <w:jc w:val="both"/>
        <w:rPr>
          <w:rFonts w:ascii="Arial" w:eastAsia="Arial" w:hAnsi="Arial" w:cs="Arial"/>
          <w:b/>
          <w:sz w:val="24"/>
          <w:szCs w:val="24"/>
        </w:rPr>
      </w:pPr>
    </w:p>
    <w:p w:rsidR="002B7C6D" w:rsidRPr="000E7AC8" w:rsidRDefault="002B7C6D">
      <w:pPr>
        <w:jc w:val="both"/>
        <w:rPr>
          <w:rFonts w:ascii="Arial" w:eastAsia="Arial" w:hAnsi="Arial" w:cs="Arial"/>
          <w:b/>
          <w:sz w:val="24"/>
          <w:szCs w:val="24"/>
        </w:rPr>
      </w:pPr>
    </w:p>
    <w:p w:rsidR="002B7C6D" w:rsidRPr="000E7AC8" w:rsidRDefault="002B7C6D">
      <w:pPr>
        <w:jc w:val="both"/>
        <w:rPr>
          <w:rFonts w:ascii="Arial" w:eastAsia="Arial" w:hAnsi="Arial" w:cs="Arial"/>
          <w:b/>
          <w:sz w:val="24"/>
          <w:szCs w:val="24"/>
        </w:rPr>
      </w:pPr>
    </w:p>
    <w:p w:rsidR="002B7C6D" w:rsidRPr="000E7AC8" w:rsidRDefault="002B7C6D">
      <w:pPr>
        <w:jc w:val="both"/>
        <w:rPr>
          <w:rFonts w:ascii="Arial" w:eastAsia="Arial" w:hAnsi="Arial" w:cs="Arial"/>
          <w:b/>
          <w:sz w:val="24"/>
          <w:szCs w:val="24"/>
        </w:rPr>
      </w:pPr>
    </w:p>
    <w:p w:rsidR="002B7C6D" w:rsidRPr="000E7AC8" w:rsidRDefault="00E75F7D">
      <w:pPr>
        <w:jc w:val="both"/>
        <w:rPr>
          <w:rFonts w:ascii="Arial" w:eastAsia="Arial" w:hAnsi="Arial" w:cs="Arial"/>
          <w:b/>
          <w:sz w:val="24"/>
          <w:szCs w:val="24"/>
        </w:rPr>
      </w:pPr>
      <w:r w:rsidRPr="000E7AC8">
        <w:rPr>
          <w:rFonts w:ascii="Arial" w:eastAsia="Arial" w:hAnsi="Arial" w:cs="Arial"/>
          <w:b/>
          <w:sz w:val="24"/>
          <w:szCs w:val="24"/>
        </w:rPr>
        <w:t>Wilson Miranda Lima</w:t>
      </w:r>
    </w:p>
    <w:p w:rsidR="002B7C6D" w:rsidRPr="000E7AC8" w:rsidRDefault="00E75F7D">
      <w:pPr>
        <w:jc w:val="both"/>
        <w:rPr>
          <w:rFonts w:ascii="Arial" w:eastAsia="Arial" w:hAnsi="Arial" w:cs="Arial"/>
          <w:sz w:val="24"/>
          <w:szCs w:val="24"/>
        </w:rPr>
      </w:pPr>
      <w:r w:rsidRPr="000E7AC8">
        <w:rPr>
          <w:rFonts w:ascii="Arial" w:eastAsia="Arial" w:hAnsi="Arial" w:cs="Arial"/>
          <w:sz w:val="24"/>
          <w:szCs w:val="24"/>
        </w:rPr>
        <w:t>Governador do Estado do Amazonas</w:t>
      </w:r>
    </w:p>
    <w:p w:rsidR="002B7C6D" w:rsidRPr="000E7AC8" w:rsidRDefault="002B7C6D">
      <w:pPr>
        <w:jc w:val="both"/>
        <w:rPr>
          <w:rFonts w:ascii="Arial" w:eastAsia="Arial" w:hAnsi="Arial" w:cs="Arial"/>
          <w:sz w:val="24"/>
          <w:szCs w:val="24"/>
        </w:rPr>
      </w:pPr>
    </w:p>
    <w:p w:rsidR="002B7C6D" w:rsidRPr="000E7AC8" w:rsidRDefault="00E75F7D">
      <w:pPr>
        <w:jc w:val="both"/>
        <w:rPr>
          <w:rFonts w:ascii="Arial" w:eastAsia="Arial" w:hAnsi="Arial" w:cs="Arial"/>
          <w:b/>
          <w:sz w:val="24"/>
          <w:szCs w:val="24"/>
        </w:rPr>
      </w:pPr>
      <w:r w:rsidRPr="000E7AC8">
        <w:rPr>
          <w:rFonts w:ascii="Arial" w:eastAsia="Arial" w:hAnsi="Arial" w:cs="Arial"/>
          <w:b/>
          <w:sz w:val="24"/>
          <w:szCs w:val="24"/>
        </w:rPr>
        <w:t>Tadeu de Souza Silva</w:t>
      </w:r>
    </w:p>
    <w:p w:rsidR="002B7C6D" w:rsidRPr="000E7AC8" w:rsidRDefault="00E75F7D">
      <w:pPr>
        <w:jc w:val="both"/>
        <w:rPr>
          <w:rFonts w:ascii="Arial" w:eastAsia="Arial" w:hAnsi="Arial" w:cs="Arial"/>
          <w:sz w:val="24"/>
          <w:szCs w:val="24"/>
        </w:rPr>
      </w:pPr>
      <w:r w:rsidRPr="000E7AC8">
        <w:rPr>
          <w:rFonts w:ascii="Arial" w:eastAsia="Arial" w:hAnsi="Arial" w:cs="Arial"/>
          <w:sz w:val="24"/>
          <w:szCs w:val="24"/>
        </w:rPr>
        <w:t>Vice-Governador do Estado do Amazonas</w:t>
      </w:r>
    </w:p>
    <w:p w:rsidR="002B7C6D" w:rsidRPr="000E7AC8" w:rsidRDefault="002B7C6D">
      <w:pPr>
        <w:jc w:val="both"/>
        <w:rPr>
          <w:rFonts w:ascii="Arial" w:eastAsia="Arial" w:hAnsi="Arial" w:cs="Arial"/>
          <w:sz w:val="24"/>
          <w:szCs w:val="24"/>
        </w:rPr>
      </w:pPr>
    </w:p>
    <w:p w:rsidR="002B7C6D" w:rsidRPr="000E7AC8" w:rsidRDefault="00E75F7D">
      <w:pPr>
        <w:jc w:val="both"/>
        <w:rPr>
          <w:rFonts w:ascii="Arial" w:eastAsia="Arial" w:hAnsi="Arial" w:cs="Arial"/>
          <w:b/>
          <w:sz w:val="24"/>
          <w:szCs w:val="24"/>
        </w:rPr>
      </w:pPr>
      <w:r w:rsidRPr="000E7AC8">
        <w:rPr>
          <w:rFonts w:ascii="Arial" w:eastAsia="Arial" w:hAnsi="Arial" w:cs="Arial"/>
          <w:b/>
          <w:sz w:val="24"/>
          <w:szCs w:val="24"/>
        </w:rPr>
        <w:t>Eduardo Costa Taveira</w:t>
      </w:r>
    </w:p>
    <w:p w:rsidR="002B7C6D" w:rsidRPr="000E7AC8" w:rsidRDefault="00E75F7D">
      <w:pPr>
        <w:jc w:val="both"/>
        <w:rPr>
          <w:rFonts w:ascii="Arial" w:eastAsia="Arial" w:hAnsi="Arial" w:cs="Arial"/>
          <w:sz w:val="24"/>
          <w:szCs w:val="24"/>
        </w:rPr>
      </w:pPr>
      <w:r w:rsidRPr="000E7AC8">
        <w:rPr>
          <w:rFonts w:ascii="Arial" w:eastAsia="Arial" w:hAnsi="Arial" w:cs="Arial"/>
          <w:sz w:val="24"/>
          <w:szCs w:val="24"/>
        </w:rPr>
        <w:t xml:space="preserve">Secretário de Estado do Meio Ambiente do Amazonas </w:t>
      </w:r>
    </w:p>
    <w:p w:rsidR="002B7C6D" w:rsidRPr="000E7AC8" w:rsidRDefault="002B7C6D">
      <w:pPr>
        <w:jc w:val="both"/>
        <w:rPr>
          <w:rFonts w:ascii="Arial" w:eastAsia="Arial" w:hAnsi="Arial" w:cs="Arial"/>
          <w:sz w:val="24"/>
          <w:szCs w:val="24"/>
        </w:rPr>
      </w:pPr>
    </w:p>
    <w:p w:rsidR="002B7C6D" w:rsidRPr="000E7AC8" w:rsidRDefault="00E75F7D">
      <w:pPr>
        <w:jc w:val="both"/>
        <w:rPr>
          <w:rFonts w:ascii="Arial" w:eastAsia="Arial" w:hAnsi="Arial" w:cs="Arial"/>
          <w:b/>
          <w:sz w:val="24"/>
          <w:szCs w:val="24"/>
        </w:rPr>
      </w:pPr>
      <w:r w:rsidRPr="000E7AC8">
        <w:rPr>
          <w:rFonts w:ascii="Arial" w:eastAsia="Arial" w:hAnsi="Arial" w:cs="Arial"/>
          <w:b/>
          <w:sz w:val="24"/>
          <w:szCs w:val="24"/>
        </w:rPr>
        <w:t xml:space="preserve">Luzia Raquel Queiroz Rodrigues Said </w:t>
      </w:r>
    </w:p>
    <w:p w:rsidR="002B7C6D" w:rsidRPr="000E7AC8" w:rsidRDefault="00E75F7D">
      <w:pPr>
        <w:jc w:val="both"/>
        <w:rPr>
          <w:rFonts w:ascii="Arial" w:eastAsia="Arial" w:hAnsi="Arial" w:cs="Arial"/>
          <w:sz w:val="24"/>
          <w:szCs w:val="24"/>
        </w:rPr>
      </w:pPr>
      <w:r w:rsidRPr="000E7AC8">
        <w:rPr>
          <w:rFonts w:ascii="Arial" w:eastAsia="Arial" w:hAnsi="Arial" w:cs="Arial"/>
          <w:sz w:val="24"/>
          <w:szCs w:val="24"/>
        </w:rPr>
        <w:t>Secretária Executiva de Gestão da Sema</w:t>
      </w:r>
    </w:p>
    <w:p w:rsidR="002B7C6D" w:rsidRPr="000E7AC8" w:rsidRDefault="002B7C6D">
      <w:pPr>
        <w:jc w:val="both"/>
        <w:rPr>
          <w:rFonts w:ascii="Arial" w:eastAsia="Arial" w:hAnsi="Arial" w:cs="Arial"/>
          <w:sz w:val="24"/>
          <w:szCs w:val="24"/>
        </w:rPr>
      </w:pPr>
    </w:p>
    <w:p w:rsidR="002B7C6D" w:rsidRPr="000E7AC8" w:rsidRDefault="00E75F7D">
      <w:pPr>
        <w:jc w:val="both"/>
        <w:rPr>
          <w:rFonts w:ascii="Arial" w:eastAsia="Arial" w:hAnsi="Arial" w:cs="Arial"/>
          <w:b/>
          <w:sz w:val="24"/>
          <w:szCs w:val="24"/>
        </w:rPr>
      </w:pPr>
      <w:r w:rsidRPr="000E7AC8">
        <w:rPr>
          <w:rFonts w:ascii="Arial" w:eastAsia="Arial" w:hAnsi="Arial" w:cs="Arial"/>
          <w:b/>
          <w:sz w:val="24"/>
          <w:szCs w:val="24"/>
        </w:rPr>
        <w:t>Fabrícia Arruda Moreira</w:t>
      </w:r>
    </w:p>
    <w:p w:rsidR="002B7C6D" w:rsidRPr="000E7AC8" w:rsidRDefault="00E75F7D">
      <w:pPr>
        <w:jc w:val="both"/>
        <w:rPr>
          <w:rFonts w:ascii="Arial" w:eastAsia="Arial" w:hAnsi="Arial" w:cs="Arial"/>
          <w:sz w:val="24"/>
          <w:szCs w:val="24"/>
        </w:rPr>
      </w:pPr>
      <w:r w:rsidRPr="000E7AC8">
        <w:rPr>
          <w:rFonts w:ascii="Arial" w:eastAsia="Arial" w:hAnsi="Arial" w:cs="Arial"/>
          <w:sz w:val="24"/>
          <w:szCs w:val="24"/>
        </w:rPr>
        <w:t>Secretária Executiva Adjunta de Gestão Ambiental da Sema</w:t>
      </w:r>
    </w:p>
    <w:p w:rsidR="002B7C6D" w:rsidRPr="000E7AC8" w:rsidRDefault="002B7C6D">
      <w:pPr>
        <w:jc w:val="both"/>
        <w:rPr>
          <w:rFonts w:ascii="Arial" w:eastAsia="Arial" w:hAnsi="Arial" w:cs="Arial"/>
          <w:sz w:val="24"/>
          <w:szCs w:val="24"/>
        </w:rPr>
      </w:pPr>
    </w:p>
    <w:p w:rsidR="002B7C6D" w:rsidRPr="000E7AC8" w:rsidRDefault="00E75F7D">
      <w:pPr>
        <w:jc w:val="both"/>
        <w:rPr>
          <w:rFonts w:ascii="Arial" w:eastAsia="Arial" w:hAnsi="Arial" w:cs="Arial"/>
          <w:b/>
          <w:sz w:val="24"/>
          <w:szCs w:val="24"/>
        </w:rPr>
      </w:pPr>
      <w:r w:rsidRPr="000E7AC8">
        <w:rPr>
          <w:rFonts w:ascii="Arial" w:hAnsi="Arial" w:cs="Arial"/>
        </w:rPr>
        <w:br w:type="page"/>
      </w:r>
    </w:p>
    <w:p w:rsidR="002B7C6D" w:rsidRPr="000E7AC8" w:rsidRDefault="00E75F7D">
      <w:pPr>
        <w:jc w:val="both"/>
        <w:rPr>
          <w:rFonts w:ascii="Arial" w:eastAsia="Arial" w:hAnsi="Arial" w:cs="Arial"/>
          <w:b/>
          <w:sz w:val="24"/>
          <w:szCs w:val="24"/>
        </w:rPr>
      </w:pPr>
      <w:r w:rsidRPr="000E7AC8">
        <w:rPr>
          <w:rFonts w:ascii="Arial" w:eastAsia="Arial" w:hAnsi="Arial" w:cs="Arial"/>
          <w:b/>
          <w:sz w:val="24"/>
          <w:szCs w:val="24"/>
        </w:rPr>
        <w:lastRenderedPageBreak/>
        <w:t>SUPERVISÃO EDITORIAL E ORGANIZAÇÃO DE CONTEÚDO</w:t>
      </w:r>
    </w:p>
    <w:p w:rsidR="002B7C6D" w:rsidRPr="000E7AC8" w:rsidRDefault="002B7C6D">
      <w:pPr>
        <w:jc w:val="both"/>
        <w:rPr>
          <w:rFonts w:ascii="Arial" w:eastAsia="Arial" w:hAnsi="Arial" w:cs="Arial"/>
          <w:b/>
          <w:sz w:val="24"/>
          <w:szCs w:val="24"/>
        </w:rPr>
      </w:pPr>
    </w:p>
    <w:p w:rsidR="002B7C6D" w:rsidRPr="000E7AC8" w:rsidRDefault="002B7C6D">
      <w:pPr>
        <w:jc w:val="both"/>
        <w:rPr>
          <w:rFonts w:ascii="Arial" w:eastAsia="Arial" w:hAnsi="Arial" w:cs="Arial"/>
          <w:b/>
          <w:sz w:val="24"/>
          <w:szCs w:val="24"/>
        </w:rPr>
      </w:pPr>
    </w:p>
    <w:p w:rsidR="002B7C6D" w:rsidRPr="000E7AC8" w:rsidRDefault="006E1320">
      <w:pPr>
        <w:jc w:val="both"/>
        <w:rPr>
          <w:rFonts w:ascii="Arial" w:eastAsia="Arial" w:hAnsi="Arial" w:cs="Arial"/>
          <w:b/>
          <w:sz w:val="24"/>
          <w:szCs w:val="24"/>
        </w:rPr>
      </w:pPr>
      <w:r w:rsidRPr="000E7AC8">
        <w:rPr>
          <w:rFonts w:ascii="Arial" w:eastAsia="Arial" w:hAnsi="Arial" w:cs="Arial"/>
          <w:b/>
          <w:sz w:val="24"/>
          <w:szCs w:val="24"/>
        </w:rPr>
        <w:t>Nonato Junior Ribeiro dos Santos</w:t>
      </w:r>
    </w:p>
    <w:p w:rsidR="002B7C6D" w:rsidRPr="000E7AC8" w:rsidRDefault="006E1320">
      <w:pPr>
        <w:jc w:val="both"/>
        <w:rPr>
          <w:rFonts w:ascii="Arial" w:eastAsia="Arial" w:hAnsi="Arial" w:cs="Arial"/>
          <w:sz w:val="24"/>
          <w:szCs w:val="24"/>
        </w:rPr>
      </w:pPr>
      <w:r w:rsidRPr="000E7AC8">
        <w:rPr>
          <w:rFonts w:ascii="Arial" w:eastAsia="Arial" w:hAnsi="Arial" w:cs="Arial"/>
          <w:sz w:val="24"/>
          <w:szCs w:val="24"/>
        </w:rPr>
        <w:t>Engenheiro</w:t>
      </w:r>
      <w:r w:rsidR="00E75F7D" w:rsidRPr="000E7AC8">
        <w:rPr>
          <w:rFonts w:ascii="Arial" w:eastAsia="Arial" w:hAnsi="Arial" w:cs="Arial"/>
          <w:sz w:val="24"/>
          <w:szCs w:val="24"/>
        </w:rPr>
        <w:t xml:space="preserve"> Florestal - Chefe do Departamento de Gestão Ambiental e Ordenamento Territorial – Degat/Sema</w:t>
      </w:r>
    </w:p>
    <w:p w:rsidR="002B7C6D" w:rsidRPr="000E7AC8" w:rsidRDefault="002B7C6D">
      <w:pPr>
        <w:spacing w:line="276" w:lineRule="auto"/>
        <w:jc w:val="both"/>
        <w:rPr>
          <w:rFonts w:ascii="Arial" w:eastAsia="Arial" w:hAnsi="Arial" w:cs="Arial"/>
          <w:sz w:val="24"/>
          <w:szCs w:val="24"/>
        </w:rPr>
      </w:pPr>
    </w:p>
    <w:p w:rsidR="004847DB" w:rsidRPr="000E7AC8" w:rsidRDefault="004847DB" w:rsidP="004847DB">
      <w:pPr>
        <w:spacing w:line="276" w:lineRule="auto"/>
        <w:jc w:val="both"/>
        <w:rPr>
          <w:rFonts w:ascii="Arial" w:eastAsia="Arial" w:hAnsi="Arial" w:cs="Arial"/>
          <w:b/>
          <w:sz w:val="24"/>
          <w:szCs w:val="24"/>
        </w:rPr>
      </w:pPr>
      <w:r w:rsidRPr="000E7AC8">
        <w:rPr>
          <w:rFonts w:ascii="Arial" w:eastAsia="Arial" w:hAnsi="Arial" w:cs="Arial"/>
          <w:b/>
          <w:sz w:val="24"/>
          <w:szCs w:val="24"/>
        </w:rPr>
        <w:t>Alex-Sandra Farias de Almeida</w:t>
      </w:r>
    </w:p>
    <w:p w:rsidR="004847DB" w:rsidRPr="000E7AC8" w:rsidRDefault="004847DB" w:rsidP="004847DB">
      <w:pPr>
        <w:spacing w:line="276" w:lineRule="auto"/>
        <w:jc w:val="both"/>
        <w:rPr>
          <w:rFonts w:ascii="Arial" w:eastAsia="Arial" w:hAnsi="Arial" w:cs="Arial"/>
          <w:sz w:val="24"/>
          <w:szCs w:val="24"/>
        </w:rPr>
      </w:pPr>
      <w:r w:rsidRPr="000E7AC8">
        <w:rPr>
          <w:rFonts w:ascii="Arial" w:eastAsia="Arial" w:hAnsi="Arial" w:cs="Arial"/>
          <w:sz w:val="24"/>
          <w:szCs w:val="24"/>
        </w:rPr>
        <w:t>Engenheira Florestal - Chefe do Departamento de Mudanças Climáticas e Gestão de Unidades de Conservação –</w:t>
      </w:r>
      <w:r w:rsidR="009A51D6" w:rsidRPr="000E7AC8">
        <w:rPr>
          <w:rFonts w:ascii="Arial" w:eastAsia="Arial" w:hAnsi="Arial" w:cs="Arial"/>
          <w:sz w:val="24"/>
          <w:szCs w:val="24"/>
        </w:rPr>
        <w:t xml:space="preserve"> Demuc/Sema</w:t>
      </w:r>
    </w:p>
    <w:p w:rsidR="004847DB" w:rsidRPr="000E7AC8" w:rsidRDefault="004847DB">
      <w:pPr>
        <w:spacing w:line="276" w:lineRule="auto"/>
        <w:jc w:val="both"/>
        <w:rPr>
          <w:rFonts w:ascii="Arial" w:eastAsia="Arial" w:hAnsi="Arial" w:cs="Arial"/>
          <w:sz w:val="24"/>
          <w:szCs w:val="24"/>
        </w:rPr>
      </w:pPr>
    </w:p>
    <w:p w:rsidR="00D42779" w:rsidRPr="000E7AC8" w:rsidRDefault="00D42779" w:rsidP="00D42779">
      <w:pPr>
        <w:spacing w:line="276" w:lineRule="auto"/>
        <w:jc w:val="both"/>
        <w:rPr>
          <w:rFonts w:ascii="Arial" w:hAnsi="Arial" w:cs="Arial"/>
          <w:b/>
          <w:bCs/>
        </w:rPr>
      </w:pPr>
      <w:r w:rsidRPr="000E7AC8">
        <w:rPr>
          <w:rFonts w:ascii="Arial" w:eastAsia="Arial" w:hAnsi="Arial" w:cs="Arial"/>
          <w:b/>
          <w:sz w:val="24"/>
          <w:szCs w:val="24"/>
        </w:rPr>
        <w:t xml:space="preserve">Anderson da Silva </w:t>
      </w:r>
      <w:r w:rsidR="0051509C" w:rsidRPr="000E7AC8">
        <w:rPr>
          <w:rFonts w:ascii="Arial" w:eastAsia="Arial" w:hAnsi="Arial" w:cs="Arial"/>
          <w:b/>
          <w:sz w:val="24"/>
          <w:szCs w:val="24"/>
        </w:rPr>
        <w:t>Patrício</w:t>
      </w:r>
    </w:p>
    <w:p w:rsidR="00D42779" w:rsidRPr="000E7AC8" w:rsidRDefault="00D42779" w:rsidP="00D42779">
      <w:pPr>
        <w:spacing w:line="276" w:lineRule="auto"/>
        <w:jc w:val="both"/>
        <w:rPr>
          <w:rFonts w:ascii="Arial" w:eastAsia="Arial" w:hAnsi="Arial" w:cs="Arial"/>
          <w:sz w:val="24"/>
          <w:szCs w:val="24"/>
        </w:rPr>
      </w:pPr>
      <w:r w:rsidRPr="000E7AC8">
        <w:rPr>
          <w:rFonts w:ascii="Arial" w:eastAsia="Arial" w:hAnsi="Arial" w:cs="Arial"/>
          <w:sz w:val="24"/>
          <w:szCs w:val="24"/>
        </w:rPr>
        <w:t>Engenheiro Florestal - Assessor Técnico - Degat/Sema</w:t>
      </w:r>
    </w:p>
    <w:p w:rsidR="00D42779" w:rsidRPr="000E7AC8" w:rsidRDefault="00D42779">
      <w:pPr>
        <w:spacing w:line="276" w:lineRule="auto"/>
        <w:jc w:val="both"/>
        <w:rPr>
          <w:rFonts w:ascii="Arial" w:eastAsia="Arial" w:hAnsi="Arial" w:cs="Arial"/>
          <w:sz w:val="24"/>
          <w:szCs w:val="24"/>
        </w:rPr>
      </w:pPr>
    </w:p>
    <w:p w:rsidR="002B7C6D" w:rsidRPr="000E7AC8" w:rsidRDefault="00E75F7D">
      <w:pPr>
        <w:spacing w:line="276" w:lineRule="auto"/>
        <w:jc w:val="both"/>
        <w:rPr>
          <w:rFonts w:ascii="Arial" w:eastAsia="Arial" w:hAnsi="Arial" w:cs="Arial"/>
          <w:sz w:val="24"/>
          <w:szCs w:val="24"/>
        </w:rPr>
      </w:pPr>
      <w:r w:rsidRPr="000E7AC8">
        <w:rPr>
          <w:rFonts w:ascii="Arial" w:eastAsia="Arial" w:hAnsi="Arial" w:cs="Arial"/>
          <w:b/>
          <w:sz w:val="24"/>
          <w:szCs w:val="24"/>
        </w:rPr>
        <w:t>Igor Cardoso Corrêa</w:t>
      </w:r>
      <w:r w:rsidRPr="000E7AC8">
        <w:rPr>
          <w:rFonts w:ascii="Arial" w:eastAsia="Arial" w:hAnsi="Arial" w:cs="Arial"/>
          <w:sz w:val="24"/>
          <w:szCs w:val="24"/>
        </w:rPr>
        <w:t xml:space="preserve"> </w:t>
      </w:r>
    </w:p>
    <w:p w:rsidR="002B7C6D" w:rsidRPr="000E7AC8" w:rsidRDefault="00E75F7D">
      <w:pPr>
        <w:jc w:val="both"/>
        <w:rPr>
          <w:rFonts w:ascii="Arial" w:eastAsia="Arial" w:hAnsi="Arial" w:cs="Arial"/>
          <w:sz w:val="24"/>
          <w:szCs w:val="24"/>
        </w:rPr>
      </w:pPr>
      <w:r w:rsidRPr="000E7AC8">
        <w:rPr>
          <w:rFonts w:ascii="Arial" w:eastAsia="Arial" w:hAnsi="Arial" w:cs="Arial"/>
          <w:sz w:val="24"/>
          <w:szCs w:val="24"/>
        </w:rPr>
        <w:t>Engenheiro Flor</w:t>
      </w:r>
      <w:r w:rsidR="009A51D6" w:rsidRPr="000E7AC8">
        <w:rPr>
          <w:rFonts w:ascii="Arial" w:eastAsia="Arial" w:hAnsi="Arial" w:cs="Arial"/>
          <w:sz w:val="24"/>
          <w:szCs w:val="24"/>
        </w:rPr>
        <w:t>estal - Assessor Técnico - Degat</w:t>
      </w:r>
      <w:r w:rsidRPr="000E7AC8">
        <w:rPr>
          <w:rFonts w:ascii="Arial" w:eastAsia="Arial" w:hAnsi="Arial" w:cs="Arial"/>
          <w:sz w:val="24"/>
          <w:szCs w:val="24"/>
        </w:rPr>
        <w:t>/Sema</w:t>
      </w:r>
    </w:p>
    <w:p w:rsidR="004847DB" w:rsidRPr="000E7AC8" w:rsidRDefault="004847DB">
      <w:pPr>
        <w:jc w:val="both"/>
        <w:rPr>
          <w:rFonts w:ascii="Arial" w:eastAsia="Arial" w:hAnsi="Arial" w:cs="Arial"/>
          <w:sz w:val="24"/>
          <w:szCs w:val="24"/>
        </w:rPr>
      </w:pPr>
    </w:p>
    <w:p w:rsidR="004847DB" w:rsidRPr="000E7AC8" w:rsidRDefault="004847DB" w:rsidP="004847DB">
      <w:pPr>
        <w:jc w:val="both"/>
        <w:rPr>
          <w:rFonts w:ascii="Arial" w:eastAsia="Arial" w:hAnsi="Arial" w:cs="Arial"/>
          <w:b/>
          <w:sz w:val="24"/>
          <w:szCs w:val="24"/>
        </w:rPr>
      </w:pPr>
      <w:r w:rsidRPr="000E7AC8">
        <w:rPr>
          <w:rFonts w:ascii="Arial" w:eastAsia="Arial" w:hAnsi="Arial" w:cs="Arial"/>
          <w:b/>
          <w:sz w:val="24"/>
          <w:szCs w:val="24"/>
        </w:rPr>
        <w:t>Bruna de Oliveira dos Santos</w:t>
      </w:r>
    </w:p>
    <w:p w:rsidR="004847DB" w:rsidRPr="000E7AC8" w:rsidRDefault="009A51D6" w:rsidP="004847DB">
      <w:pPr>
        <w:jc w:val="both"/>
        <w:rPr>
          <w:rFonts w:ascii="Arial" w:eastAsia="Arial" w:hAnsi="Arial" w:cs="Arial"/>
          <w:sz w:val="24"/>
          <w:szCs w:val="24"/>
        </w:rPr>
      </w:pPr>
      <w:r w:rsidRPr="000E7AC8">
        <w:rPr>
          <w:rFonts w:ascii="Arial" w:eastAsia="Arial" w:hAnsi="Arial" w:cs="Arial"/>
          <w:sz w:val="24"/>
          <w:szCs w:val="24"/>
        </w:rPr>
        <w:t>Engenheira Florestal - Demuc</w:t>
      </w:r>
      <w:r w:rsidR="004847DB" w:rsidRPr="000E7AC8">
        <w:rPr>
          <w:rFonts w:ascii="Arial" w:eastAsia="Arial" w:hAnsi="Arial" w:cs="Arial"/>
          <w:sz w:val="24"/>
          <w:szCs w:val="24"/>
        </w:rPr>
        <w:t>/Sema</w:t>
      </w:r>
    </w:p>
    <w:p w:rsidR="002B7C6D" w:rsidRPr="000E7AC8" w:rsidRDefault="002B7C6D">
      <w:pPr>
        <w:spacing w:line="276" w:lineRule="auto"/>
        <w:jc w:val="both"/>
        <w:rPr>
          <w:rFonts w:ascii="Arial" w:eastAsia="Arial" w:hAnsi="Arial" w:cs="Arial"/>
          <w:sz w:val="24"/>
          <w:szCs w:val="24"/>
        </w:rPr>
      </w:pPr>
    </w:p>
    <w:p w:rsidR="002B7C6D" w:rsidRPr="000E7AC8" w:rsidRDefault="002B7C6D">
      <w:pPr>
        <w:spacing w:line="276" w:lineRule="auto"/>
        <w:jc w:val="both"/>
        <w:rPr>
          <w:rFonts w:ascii="Arial" w:eastAsia="Arial" w:hAnsi="Arial" w:cs="Arial"/>
          <w:sz w:val="24"/>
          <w:szCs w:val="24"/>
        </w:rPr>
      </w:pPr>
    </w:p>
    <w:p w:rsidR="002B7C6D" w:rsidRPr="000E7AC8" w:rsidRDefault="002B7C6D">
      <w:pPr>
        <w:jc w:val="both"/>
        <w:rPr>
          <w:rFonts w:ascii="Arial" w:eastAsia="Arial" w:hAnsi="Arial" w:cs="Arial"/>
        </w:rPr>
      </w:pPr>
      <w:bookmarkStart w:id="0" w:name="_heading=h.gjdgxs" w:colFirst="0" w:colLast="0"/>
      <w:bookmarkEnd w:id="0"/>
    </w:p>
    <w:p w:rsidR="002B7C6D" w:rsidRPr="000E7AC8" w:rsidRDefault="002B7C6D">
      <w:pPr>
        <w:rPr>
          <w:rFonts w:ascii="Arial" w:eastAsia="Arial" w:hAnsi="Arial" w:cs="Arial"/>
          <w:b/>
          <w:sz w:val="24"/>
          <w:szCs w:val="24"/>
        </w:rPr>
      </w:pPr>
    </w:p>
    <w:p w:rsidR="002B7C6D" w:rsidRPr="000E7AC8" w:rsidRDefault="00E75F7D">
      <w:pPr>
        <w:rPr>
          <w:rFonts w:ascii="Arial" w:eastAsia="Arial" w:hAnsi="Arial" w:cs="Arial"/>
          <w:b/>
          <w:sz w:val="24"/>
          <w:szCs w:val="24"/>
        </w:rPr>
      </w:pPr>
      <w:r w:rsidRPr="000E7AC8">
        <w:rPr>
          <w:rFonts w:ascii="Arial" w:eastAsia="Arial" w:hAnsi="Arial" w:cs="Arial"/>
          <w:b/>
          <w:sz w:val="24"/>
          <w:szCs w:val="24"/>
        </w:rPr>
        <w:t>REVISÃO DE CONTEÚDO</w:t>
      </w:r>
    </w:p>
    <w:p w:rsidR="002B7C6D" w:rsidRPr="000E7AC8" w:rsidRDefault="002B7C6D">
      <w:pPr>
        <w:rPr>
          <w:rFonts w:ascii="Arial" w:eastAsia="Arial" w:hAnsi="Arial" w:cs="Arial"/>
          <w:b/>
          <w:sz w:val="24"/>
          <w:szCs w:val="24"/>
        </w:rPr>
      </w:pPr>
    </w:p>
    <w:p w:rsidR="002B7C6D" w:rsidRPr="000E7AC8" w:rsidRDefault="00E75F7D">
      <w:pPr>
        <w:rPr>
          <w:rFonts w:ascii="Arial" w:eastAsia="Arial" w:hAnsi="Arial" w:cs="Arial"/>
          <w:b/>
          <w:sz w:val="24"/>
          <w:szCs w:val="24"/>
        </w:rPr>
      </w:pPr>
      <w:r w:rsidRPr="000E7AC8">
        <w:rPr>
          <w:rFonts w:ascii="Arial" w:eastAsia="Arial" w:hAnsi="Arial" w:cs="Arial"/>
          <w:b/>
          <w:sz w:val="24"/>
          <w:szCs w:val="24"/>
        </w:rPr>
        <w:t>Jamile Alves de Araújo</w:t>
      </w:r>
    </w:p>
    <w:p w:rsidR="002B7C6D" w:rsidRPr="000E7AC8" w:rsidRDefault="00E75F7D">
      <w:pPr>
        <w:rPr>
          <w:rFonts w:ascii="Arial" w:eastAsia="Arial" w:hAnsi="Arial" w:cs="Arial"/>
          <w:sz w:val="24"/>
          <w:szCs w:val="24"/>
        </w:rPr>
      </w:pPr>
      <w:r w:rsidRPr="000E7AC8">
        <w:rPr>
          <w:rFonts w:ascii="Arial" w:eastAsia="Arial" w:hAnsi="Arial" w:cs="Arial"/>
          <w:sz w:val="24"/>
          <w:szCs w:val="24"/>
        </w:rPr>
        <w:t>Assessora de Comunicação - Sema</w:t>
      </w:r>
    </w:p>
    <w:p w:rsidR="002B7C6D" w:rsidRPr="000E7AC8" w:rsidRDefault="002B7C6D">
      <w:pPr>
        <w:rPr>
          <w:rFonts w:ascii="Arial" w:eastAsia="Arial" w:hAnsi="Arial" w:cs="Arial"/>
          <w:sz w:val="24"/>
          <w:szCs w:val="24"/>
        </w:rPr>
      </w:pPr>
    </w:p>
    <w:p w:rsidR="002B7C6D" w:rsidRPr="000E7AC8" w:rsidRDefault="002B7C6D">
      <w:pPr>
        <w:rPr>
          <w:rFonts w:ascii="Arial" w:eastAsia="Arial" w:hAnsi="Arial" w:cs="Arial"/>
          <w:b/>
          <w:sz w:val="24"/>
          <w:szCs w:val="24"/>
        </w:rPr>
      </w:pPr>
    </w:p>
    <w:p w:rsidR="002B7C6D" w:rsidRPr="000E7AC8" w:rsidRDefault="002B7C6D">
      <w:pPr>
        <w:rPr>
          <w:rFonts w:ascii="Arial" w:eastAsia="Arial" w:hAnsi="Arial" w:cs="Arial"/>
          <w:b/>
          <w:sz w:val="24"/>
          <w:szCs w:val="24"/>
        </w:rPr>
      </w:pPr>
    </w:p>
    <w:p w:rsidR="002B7C6D" w:rsidRPr="000E7AC8" w:rsidRDefault="002B7C6D">
      <w:pPr>
        <w:ind w:hanging="426"/>
        <w:jc w:val="center"/>
        <w:rPr>
          <w:rFonts w:ascii="Arial" w:eastAsia="Arial" w:hAnsi="Arial" w:cs="Arial"/>
          <w:b/>
          <w:sz w:val="24"/>
          <w:szCs w:val="24"/>
        </w:rPr>
      </w:pPr>
    </w:p>
    <w:p w:rsidR="002B7C6D" w:rsidRPr="000E7AC8" w:rsidRDefault="002B7C6D">
      <w:pPr>
        <w:ind w:hanging="426"/>
        <w:jc w:val="center"/>
        <w:rPr>
          <w:rFonts w:ascii="Arial" w:eastAsia="Arial" w:hAnsi="Arial" w:cs="Arial"/>
          <w:b/>
          <w:sz w:val="24"/>
          <w:szCs w:val="24"/>
        </w:rPr>
      </w:pPr>
    </w:p>
    <w:p w:rsidR="002B7C6D" w:rsidRPr="000E7AC8" w:rsidRDefault="002B7C6D">
      <w:pPr>
        <w:ind w:hanging="426"/>
        <w:jc w:val="center"/>
        <w:rPr>
          <w:rFonts w:ascii="Arial" w:eastAsia="Arial" w:hAnsi="Arial" w:cs="Arial"/>
          <w:b/>
          <w:sz w:val="24"/>
          <w:szCs w:val="24"/>
        </w:rPr>
      </w:pPr>
    </w:p>
    <w:p w:rsidR="002B7C6D" w:rsidRPr="000E7AC8" w:rsidRDefault="002B7C6D">
      <w:pPr>
        <w:ind w:hanging="426"/>
        <w:jc w:val="center"/>
        <w:rPr>
          <w:rFonts w:ascii="Arial" w:eastAsia="Arial" w:hAnsi="Arial" w:cs="Arial"/>
          <w:b/>
          <w:sz w:val="24"/>
          <w:szCs w:val="24"/>
        </w:rPr>
      </w:pPr>
    </w:p>
    <w:p w:rsidR="002B7C6D" w:rsidRPr="000E7AC8" w:rsidRDefault="002B7C6D">
      <w:pPr>
        <w:ind w:hanging="426"/>
        <w:jc w:val="center"/>
        <w:rPr>
          <w:rFonts w:ascii="Arial" w:eastAsia="Arial" w:hAnsi="Arial" w:cs="Arial"/>
          <w:b/>
          <w:sz w:val="24"/>
          <w:szCs w:val="24"/>
        </w:rPr>
      </w:pPr>
    </w:p>
    <w:p w:rsidR="002B7C6D" w:rsidRPr="000E7AC8" w:rsidRDefault="002B7C6D">
      <w:pPr>
        <w:ind w:hanging="426"/>
        <w:jc w:val="center"/>
        <w:rPr>
          <w:rFonts w:ascii="Arial" w:eastAsia="Arial" w:hAnsi="Arial" w:cs="Arial"/>
          <w:b/>
          <w:sz w:val="24"/>
          <w:szCs w:val="24"/>
        </w:rPr>
      </w:pPr>
    </w:p>
    <w:p w:rsidR="002B7C6D" w:rsidRPr="000E7AC8" w:rsidRDefault="00E75F7D">
      <w:pPr>
        <w:spacing w:after="200" w:line="276" w:lineRule="auto"/>
        <w:rPr>
          <w:rFonts w:ascii="Arial" w:eastAsia="Arial" w:hAnsi="Arial" w:cs="Arial"/>
          <w:b/>
          <w:sz w:val="24"/>
          <w:szCs w:val="24"/>
        </w:rPr>
      </w:pPr>
      <w:r w:rsidRPr="000E7AC8">
        <w:rPr>
          <w:rFonts w:ascii="Arial" w:hAnsi="Arial" w:cs="Arial"/>
        </w:rPr>
        <w:br w:type="page"/>
      </w:r>
    </w:p>
    <w:p w:rsidR="002B7C6D" w:rsidRPr="000E7AC8" w:rsidRDefault="00E75F7D">
      <w:pPr>
        <w:spacing w:after="200" w:line="276" w:lineRule="auto"/>
        <w:rPr>
          <w:rFonts w:ascii="Arial" w:eastAsia="Arial" w:hAnsi="Arial" w:cs="Arial"/>
          <w:b/>
          <w:sz w:val="24"/>
          <w:szCs w:val="24"/>
        </w:rPr>
      </w:pPr>
      <w:r w:rsidRPr="000E7AC8">
        <w:rPr>
          <w:rFonts w:ascii="Arial" w:eastAsia="Arial" w:hAnsi="Arial" w:cs="Arial"/>
          <w:b/>
          <w:color w:val="38761D"/>
          <w:sz w:val="28"/>
          <w:szCs w:val="28"/>
        </w:rPr>
        <w:lastRenderedPageBreak/>
        <w:t>SIGLAS</w:t>
      </w:r>
    </w:p>
    <w:p w:rsidR="002B7C6D" w:rsidRPr="000E7AC8" w:rsidRDefault="00E75F7D">
      <w:pPr>
        <w:spacing w:after="200" w:line="276" w:lineRule="auto"/>
        <w:rPr>
          <w:rFonts w:ascii="Arial" w:eastAsia="Arial" w:hAnsi="Arial" w:cs="Arial"/>
          <w:b/>
          <w:sz w:val="24"/>
          <w:szCs w:val="24"/>
        </w:rPr>
      </w:pPr>
      <w:r w:rsidRPr="000E7AC8">
        <w:rPr>
          <w:rFonts w:ascii="Arial" w:eastAsia="Arial" w:hAnsi="Arial" w:cs="Arial"/>
          <w:b/>
          <w:sz w:val="24"/>
          <w:szCs w:val="24"/>
        </w:rPr>
        <w:t xml:space="preserve">ALEAM – </w:t>
      </w:r>
      <w:r w:rsidRPr="000E7AC8">
        <w:rPr>
          <w:rFonts w:ascii="Arial" w:eastAsia="Arial" w:hAnsi="Arial" w:cs="Arial"/>
          <w:sz w:val="24"/>
          <w:szCs w:val="24"/>
        </w:rPr>
        <w:t>Assembleia Legislativa do Estado do Amazonas</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AUTEX</w:t>
      </w:r>
      <w:r w:rsidRPr="000E7AC8">
        <w:rPr>
          <w:rFonts w:ascii="Arial" w:eastAsia="Arial" w:hAnsi="Arial" w:cs="Arial"/>
          <w:sz w:val="24"/>
          <w:szCs w:val="24"/>
        </w:rPr>
        <w:t xml:space="preserve"> </w:t>
      </w:r>
      <w:r w:rsidRPr="000E7AC8">
        <w:rPr>
          <w:rFonts w:ascii="Arial" w:eastAsia="Arial" w:hAnsi="Arial" w:cs="Arial"/>
          <w:b/>
          <w:sz w:val="24"/>
          <w:szCs w:val="24"/>
        </w:rPr>
        <w:t>–</w:t>
      </w:r>
      <w:r w:rsidRPr="000E7AC8">
        <w:rPr>
          <w:rFonts w:ascii="Arial" w:eastAsia="Arial" w:hAnsi="Arial" w:cs="Arial"/>
          <w:sz w:val="24"/>
          <w:szCs w:val="24"/>
        </w:rPr>
        <w:t xml:space="preserve"> Autorização de Exploração Florestal</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CAR</w:t>
      </w:r>
      <w:r w:rsidRPr="000E7AC8">
        <w:rPr>
          <w:rFonts w:ascii="Arial" w:eastAsia="Arial" w:hAnsi="Arial" w:cs="Arial"/>
          <w:sz w:val="24"/>
          <w:szCs w:val="24"/>
        </w:rPr>
        <w:t xml:space="preserve"> </w:t>
      </w:r>
      <w:r w:rsidRPr="000E7AC8">
        <w:rPr>
          <w:rFonts w:ascii="Arial" w:eastAsia="Arial" w:hAnsi="Arial" w:cs="Arial"/>
          <w:b/>
          <w:sz w:val="24"/>
          <w:szCs w:val="24"/>
        </w:rPr>
        <w:t xml:space="preserve">– </w:t>
      </w:r>
      <w:r w:rsidRPr="000E7AC8">
        <w:rPr>
          <w:rFonts w:ascii="Arial" w:eastAsia="Arial" w:hAnsi="Arial" w:cs="Arial"/>
          <w:sz w:val="24"/>
          <w:szCs w:val="24"/>
        </w:rPr>
        <w:t>Cadastro Ambiental Rural</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CEGFLOP-AM – </w:t>
      </w:r>
      <w:r w:rsidRPr="000E7AC8">
        <w:rPr>
          <w:rFonts w:ascii="Arial" w:eastAsia="Arial" w:hAnsi="Arial" w:cs="Arial"/>
          <w:sz w:val="24"/>
          <w:szCs w:val="24"/>
        </w:rPr>
        <w:t>Comissão Estadual de Gestão de Florestas Públicas do Amazonas</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CEMAAM –  </w:t>
      </w:r>
      <w:r w:rsidRPr="000E7AC8">
        <w:rPr>
          <w:rFonts w:ascii="Arial" w:eastAsia="Arial" w:hAnsi="Arial" w:cs="Arial"/>
          <w:sz w:val="24"/>
          <w:szCs w:val="24"/>
        </w:rPr>
        <w:t>Conselho Estadual de Meio Ambiente</w:t>
      </w:r>
      <w:r w:rsidRPr="000E7AC8">
        <w:rPr>
          <w:rFonts w:ascii="Arial" w:eastAsia="Arial" w:hAnsi="Arial" w:cs="Arial"/>
          <w:b/>
          <w:sz w:val="24"/>
          <w:szCs w:val="24"/>
        </w:rPr>
        <w:t xml:space="preserve"> </w:t>
      </w:r>
      <w:r w:rsidRPr="000E7AC8">
        <w:rPr>
          <w:rFonts w:ascii="Arial" w:eastAsia="Arial" w:hAnsi="Arial" w:cs="Arial"/>
          <w:sz w:val="24"/>
          <w:szCs w:val="24"/>
        </w:rPr>
        <w:t>do Amazonas</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CNFP –</w:t>
      </w:r>
      <w:r w:rsidRPr="000E7AC8">
        <w:rPr>
          <w:rFonts w:ascii="Arial" w:eastAsia="Arial" w:hAnsi="Arial" w:cs="Arial"/>
          <w:sz w:val="24"/>
          <w:szCs w:val="24"/>
        </w:rPr>
        <w:t xml:space="preserve"> Cadastro Nacional de Florestas Públicas</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CNUC</w:t>
      </w:r>
      <w:r w:rsidRPr="000E7AC8">
        <w:rPr>
          <w:rFonts w:ascii="Arial" w:eastAsia="Arial" w:hAnsi="Arial" w:cs="Arial"/>
          <w:sz w:val="24"/>
          <w:szCs w:val="24"/>
        </w:rPr>
        <w:t xml:space="preserve"> </w:t>
      </w:r>
      <w:r w:rsidRPr="000E7AC8">
        <w:rPr>
          <w:rFonts w:ascii="Arial" w:eastAsia="Arial" w:hAnsi="Arial" w:cs="Arial"/>
          <w:b/>
          <w:sz w:val="24"/>
          <w:szCs w:val="24"/>
        </w:rPr>
        <w:t xml:space="preserve">– </w:t>
      </w:r>
      <w:r w:rsidRPr="000E7AC8">
        <w:rPr>
          <w:rFonts w:ascii="Arial" w:eastAsia="Arial" w:hAnsi="Arial" w:cs="Arial"/>
          <w:sz w:val="24"/>
          <w:szCs w:val="24"/>
        </w:rPr>
        <w:t>Cadastro Nacional de Unidades de Conservação</w:t>
      </w:r>
    </w:p>
    <w:p w:rsidR="002B7C6D" w:rsidRPr="000E7AC8" w:rsidRDefault="00E75F7D">
      <w:pPr>
        <w:spacing w:after="200" w:line="276" w:lineRule="auto"/>
        <w:rPr>
          <w:rFonts w:ascii="Arial" w:eastAsia="Arial" w:hAnsi="Arial" w:cs="Arial"/>
          <w:b/>
          <w:sz w:val="24"/>
          <w:szCs w:val="24"/>
        </w:rPr>
      </w:pPr>
      <w:r w:rsidRPr="000E7AC8">
        <w:rPr>
          <w:rFonts w:ascii="Arial" w:eastAsia="Arial" w:hAnsi="Arial" w:cs="Arial"/>
          <w:b/>
          <w:sz w:val="24"/>
          <w:szCs w:val="24"/>
        </w:rPr>
        <w:t xml:space="preserve">CONAMA – </w:t>
      </w:r>
      <w:r w:rsidRPr="000E7AC8">
        <w:rPr>
          <w:rFonts w:ascii="Arial" w:eastAsia="Arial" w:hAnsi="Arial" w:cs="Arial"/>
          <w:sz w:val="24"/>
          <w:szCs w:val="24"/>
        </w:rPr>
        <w:t>Conselho Nacional do Meio Ambiente</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DEMUC – </w:t>
      </w:r>
      <w:r w:rsidRPr="000E7AC8">
        <w:rPr>
          <w:rFonts w:ascii="Arial" w:eastAsia="Arial" w:hAnsi="Arial" w:cs="Arial"/>
          <w:sz w:val="24"/>
          <w:szCs w:val="24"/>
        </w:rPr>
        <w:t>Departamento de Mudanças Climáticas e Gestão de Unidades de Conservação</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FPA – </w:t>
      </w:r>
      <w:r w:rsidRPr="000E7AC8">
        <w:rPr>
          <w:rFonts w:ascii="Arial" w:eastAsia="Arial" w:hAnsi="Arial" w:cs="Arial"/>
          <w:sz w:val="24"/>
          <w:szCs w:val="24"/>
        </w:rPr>
        <w:t xml:space="preserve">Floresta Pública do Tipo A </w:t>
      </w:r>
    </w:p>
    <w:p w:rsidR="002B7C6D" w:rsidRPr="000E7AC8" w:rsidRDefault="00E75F7D">
      <w:pPr>
        <w:spacing w:after="200" w:line="276" w:lineRule="auto"/>
        <w:rPr>
          <w:rFonts w:ascii="Arial" w:eastAsia="Arial" w:hAnsi="Arial" w:cs="Arial"/>
          <w:sz w:val="24"/>
          <w:szCs w:val="24"/>
          <w:highlight w:val="green"/>
        </w:rPr>
      </w:pPr>
      <w:r w:rsidRPr="000E7AC8">
        <w:rPr>
          <w:rFonts w:ascii="Arial" w:eastAsia="Arial" w:hAnsi="Arial" w:cs="Arial"/>
          <w:b/>
          <w:sz w:val="24"/>
          <w:szCs w:val="24"/>
        </w:rPr>
        <w:t>FPB –</w:t>
      </w:r>
      <w:r w:rsidRPr="000E7AC8">
        <w:rPr>
          <w:rFonts w:ascii="Arial" w:eastAsia="Arial" w:hAnsi="Arial" w:cs="Arial"/>
          <w:sz w:val="24"/>
          <w:szCs w:val="24"/>
        </w:rPr>
        <w:t xml:space="preserve"> Floresta Pública do Tipo B</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IBGE – </w:t>
      </w:r>
      <w:r w:rsidRPr="000E7AC8">
        <w:rPr>
          <w:rFonts w:ascii="Arial" w:eastAsia="Arial" w:hAnsi="Arial" w:cs="Arial"/>
          <w:sz w:val="24"/>
          <w:szCs w:val="24"/>
        </w:rPr>
        <w:t>Instituto Brasileiro de Geografia e Estatística</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INCRA –</w:t>
      </w:r>
      <w:r w:rsidRPr="000E7AC8">
        <w:rPr>
          <w:rFonts w:ascii="Arial" w:eastAsia="Arial" w:hAnsi="Arial" w:cs="Arial"/>
          <w:sz w:val="24"/>
          <w:szCs w:val="24"/>
        </w:rPr>
        <w:t xml:space="preserve"> Instituto Nacional da Colonização e Reforma Agrária</w:t>
      </w:r>
    </w:p>
    <w:p w:rsidR="002B7C6D" w:rsidRPr="000E7AC8" w:rsidRDefault="00E75F7D">
      <w:pPr>
        <w:spacing w:after="200" w:line="276" w:lineRule="auto"/>
        <w:rPr>
          <w:rFonts w:ascii="Arial" w:eastAsia="Arial" w:hAnsi="Arial" w:cs="Arial"/>
          <w:sz w:val="24"/>
          <w:szCs w:val="24"/>
          <w:highlight w:val="green"/>
        </w:rPr>
      </w:pPr>
      <w:r w:rsidRPr="000E7AC8">
        <w:rPr>
          <w:rFonts w:ascii="Arial" w:eastAsia="Arial" w:hAnsi="Arial" w:cs="Arial"/>
          <w:b/>
          <w:sz w:val="24"/>
          <w:szCs w:val="24"/>
        </w:rPr>
        <w:t xml:space="preserve">IPAAM – </w:t>
      </w:r>
      <w:r w:rsidRPr="000E7AC8">
        <w:rPr>
          <w:rFonts w:ascii="Arial" w:eastAsia="Arial" w:hAnsi="Arial" w:cs="Arial"/>
          <w:sz w:val="24"/>
          <w:szCs w:val="24"/>
        </w:rPr>
        <w:t>Instituto de Proteção Ambiental do Amazonas</w:t>
      </w:r>
    </w:p>
    <w:p w:rsidR="002B7C6D" w:rsidRPr="000E7AC8" w:rsidRDefault="00E75F7D">
      <w:pPr>
        <w:spacing w:after="200" w:line="276" w:lineRule="auto"/>
        <w:rPr>
          <w:rFonts w:ascii="Arial" w:eastAsia="Arial" w:hAnsi="Arial" w:cs="Arial"/>
          <w:b/>
          <w:sz w:val="24"/>
          <w:szCs w:val="24"/>
        </w:rPr>
      </w:pPr>
      <w:r w:rsidRPr="000E7AC8">
        <w:rPr>
          <w:rFonts w:ascii="Arial" w:eastAsia="Arial" w:hAnsi="Arial" w:cs="Arial"/>
          <w:b/>
          <w:sz w:val="24"/>
          <w:szCs w:val="24"/>
        </w:rPr>
        <w:t>MFS –</w:t>
      </w:r>
      <w:r w:rsidRPr="000E7AC8">
        <w:rPr>
          <w:rFonts w:ascii="Arial" w:eastAsia="Arial" w:hAnsi="Arial" w:cs="Arial"/>
          <w:sz w:val="24"/>
          <w:szCs w:val="24"/>
        </w:rPr>
        <w:t xml:space="preserve"> Manejo Florestal Sustentável </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MMA – </w:t>
      </w:r>
      <w:r w:rsidRPr="000E7AC8">
        <w:rPr>
          <w:rFonts w:ascii="Arial" w:eastAsia="Arial" w:hAnsi="Arial" w:cs="Arial"/>
          <w:sz w:val="24"/>
          <w:szCs w:val="24"/>
        </w:rPr>
        <w:t>Ministério do Meio Ambiente e Mudança do Clima</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PAREST – </w:t>
      </w:r>
      <w:r w:rsidRPr="000E7AC8">
        <w:rPr>
          <w:rFonts w:ascii="Arial" w:eastAsia="Arial" w:hAnsi="Arial" w:cs="Arial"/>
          <w:sz w:val="24"/>
          <w:szCs w:val="24"/>
        </w:rPr>
        <w:t>Parque Estadual</w:t>
      </w:r>
    </w:p>
    <w:p w:rsidR="002B7C6D" w:rsidRPr="000E7AC8" w:rsidRDefault="00E75F7D">
      <w:pPr>
        <w:spacing w:after="200" w:line="276" w:lineRule="auto"/>
        <w:rPr>
          <w:rFonts w:ascii="Arial" w:eastAsia="Arial" w:hAnsi="Arial" w:cs="Arial"/>
          <w:sz w:val="24"/>
          <w:szCs w:val="24"/>
          <w:highlight w:val="green"/>
        </w:rPr>
      </w:pPr>
      <w:r w:rsidRPr="000E7AC8">
        <w:rPr>
          <w:rFonts w:ascii="Arial" w:eastAsia="Arial" w:hAnsi="Arial" w:cs="Arial"/>
          <w:b/>
          <w:sz w:val="24"/>
          <w:szCs w:val="24"/>
        </w:rPr>
        <w:t xml:space="preserve">PDS –  </w:t>
      </w:r>
      <w:r w:rsidRPr="000E7AC8">
        <w:rPr>
          <w:rFonts w:ascii="Arial" w:eastAsia="Arial" w:hAnsi="Arial" w:cs="Arial"/>
          <w:sz w:val="24"/>
          <w:szCs w:val="24"/>
        </w:rPr>
        <w:t>Projetos de Desenvolvimento Sustentável</w:t>
      </w:r>
    </w:p>
    <w:p w:rsidR="002B7C6D" w:rsidRPr="000E7AC8" w:rsidRDefault="00E75F7D">
      <w:pPr>
        <w:spacing w:after="200" w:line="276" w:lineRule="auto"/>
        <w:rPr>
          <w:rFonts w:ascii="Arial" w:eastAsia="Arial" w:hAnsi="Arial" w:cs="Arial"/>
          <w:b/>
          <w:sz w:val="24"/>
          <w:szCs w:val="24"/>
          <w:highlight w:val="green"/>
        </w:rPr>
      </w:pPr>
      <w:r w:rsidRPr="000E7AC8">
        <w:rPr>
          <w:rFonts w:ascii="Arial" w:eastAsia="Arial" w:hAnsi="Arial" w:cs="Arial"/>
          <w:b/>
          <w:sz w:val="24"/>
          <w:szCs w:val="24"/>
        </w:rPr>
        <w:t xml:space="preserve">PFNM – </w:t>
      </w:r>
      <w:r w:rsidRPr="000E7AC8">
        <w:rPr>
          <w:rFonts w:ascii="Arial" w:eastAsia="Arial" w:hAnsi="Arial" w:cs="Arial"/>
          <w:sz w:val="24"/>
          <w:szCs w:val="24"/>
        </w:rPr>
        <w:t>Produtos Florestais Não Madeireiro</w:t>
      </w:r>
    </w:p>
    <w:p w:rsidR="002B7C6D" w:rsidRPr="000E7AC8" w:rsidRDefault="00E75F7D">
      <w:pPr>
        <w:spacing w:after="200" w:line="276" w:lineRule="auto"/>
        <w:rPr>
          <w:rFonts w:ascii="Arial" w:eastAsia="Arial" w:hAnsi="Arial" w:cs="Arial"/>
          <w:b/>
          <w:sz w:val="24"/>
          <w:szCs w:val="24"/>
          <w:highlight w:val="green"/>
        </w:rPr>
      </w:pPr>
      <w:r w:rsidRPr="000E7AC8">
        <w:rPr>
          <w:rFonts w:ascii="Arial" w:eastAsia="Arial" w:hAnsi="Arial" w:cs="Arial"/>
          <w:b/>
          <w:sz w:val="24"/>
          <w:szCs w:val="24"/>
        </w:rPr>
        <w:t xml:space="preserve">PMFS – </w:t>
      </w:r>
      <w:r w:rsidRPr="000E7AC8">
        <w:rPr>
          <w:rFonts w:ascii="Arial" w:eastAsia="Arial" w:hAnsi="Arial" w:cs="Arial"/>
          <w:sz w:val="24"/>
          <w:szCs w:val="24"/>
        </w:rPr>
        <w:t>Plano de Manejo Florestal Sustentável</w:t>
      </w:r>
    </w:p>
    <w:p w:rsidR="002B7C6D" w:rsidRPr="000E7AC8" w:rsidRDefault="00E75F7D">
      <w:pPr>
        <w:spacing w:after="200" w:line="276" w:lineRule="auto"/>
        <w:rPr>
          <w:rFonts w:ascii="Arial" w:eastAsia="Arial" w:hAnsi="Arial" w:cs="Arial"/>
          <w:b/>
          <w:sz w:val="24"/>
          <w:szCs w:val="24"/>
        </w:rPr>
      </w:pPr>
      <w:r w:rsidRPr="000E7AC8">
        <w:rPr>
          <w:rFonts w:ascii="Arial" w:eastAsia="Arial" w:hAnsi="Arial" w:cs="Arial"/>
          <w:b/>
          <w:sz w:val="24"/>
          <w:szCs w:val="24"/>
        </w:rPr>
        <w:lastRenderedPageBreak/>
        <w:t xml:space="preserve">POFE – </w:t>
      </w:r>
      <w:r w:rsidRPr="000E7AC8">
        <w:rPr>
          <w:rFonts w:ascii="Arial" w:eastAsia="Arial" w:hAnsi="Arial" w:cs="Arial"/>
          <w:sz w:val="24"/>
          <w:szCs w:val="24"/>
        </w:rPr>
        <w:t>Plano de Outorga Florestal Estadual</w:t>
      </w:r>
    </w:p>
    <w:p w:rsidR="002B7C6D" w:rsidRPr="000E7AC8" w:rsidRDefault="00E75F7D">
      <w:pPr>
        <w:spacing w:before="240" w:after="200" w:line="360" w:lineRule="auto"/>
        <w:rPr>
          <w:rFonts w:ascii="Arial" w:eastAsia="Arial" w:hAnsi="Arial" w:cs="Arial"/>
          <w:b/>
          <w:sz w:val="24"/>
          <w:szCs w:val="24"/>
        </w:rPr>
      </w:pPr>
      <w:r w:rsidRPr="000E7AC8">
        <w:rPr>
          <w:rFonts w:ascii="Arial" w:eastAsia="Arial" w:hAnsi="Arial" w:cs="Arial"/>
          <w:b/>
          <w:sz w:val="24"/>
          <w:szCs w:val="24"/>
        </w:rPr>
        <w:t xml:space="preserve">RDS – </w:t>
      </w:r>
      <w:r w:rsidRPr="000E7AC8">
        <w:rPr>
          <w:rFonts w:ascii="Arial" w:eastAsia="Arial" w:hAnsi="Arial" w:cs="Arial"/>
          <w:sz w:val="24"/>
          <w:szCs w:val="24"/>
        </w:rPr>
        <w:t>Reserva de Desenvolvimento Sustentável</w:t>
      </w:r>
    </w:p>
    <w:p w:rsidR="002B7C6D" w:rsidRPr="000E7AC8" w:rsidRDefault="00E75F7D">
      <w:pPr>
        <w:spacing w:after="200" w:line="276" w:lineRule="auto"/>
        <w:rPr>
          <w:rFonts w:ascii="Arial" w:eastAsia="Arial" w:hAnsi="Arial" w:cs="Arial"/>
          <w:b/>
          <w:sz w:val="24"/>
          <w:szCs w:val="24"/>
        </w:rPr>
      </w:pPr>
      <w:r w:rsidRPr="000E7AC8">
        <w:rPr>
          <w:rFonts w:ascii="Arial" w:eastAsia="Arial" w:hAnsi="Arial" w:cs="Arial"/>
          <w:b/>
          <w:sz w:val="24"/>
          <w:szCs w:val="24"/>
        </w:rPr>
        <w:t xml:space="preserve">REBIO – </w:t>
      </w:r>
      <w:r w:rsidRPr="000E7AC8">
        <w:rPr>
          <w:rFonts w:ascii="Arial" w:eastAsia="Arial" w:hAnsi="Arial" w:cs="Arial"/>
          <w:sz w:val="24"/>
          <w:szCs w:val="24"/>
        </w:rPr>
        <w:t>Reserva Biológica</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RESEX – </w:t>
      </w:r>
      <w:r w:rsidRPr="000E7AC8">
        <w:rPr>
          <w:rFonts w:ascii="Arial" w:eastAsia="Arial" w:hAnsi="Arial" w:cs="Arial"/>
          <w:sz w:val="24"/>
          <w:szCs w:val="24"/>
        </w:rPr>
        <w:t>Reservas Extrativistas</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SDS –</w:t>
      </w:r>
      <w:r w:rsidRPr="000E7AC8">
        <w:rPr>
          <w:rFonts w:ascii="Arial" w:eastAsia="Arial" w:hAnsi="Arial" w:cs="Arial"/>
          <w:sz w:val="24"/>
          <w:szCs w:val="24"/>
        </w:rPr>
        <w:t xml:space="preserve"> Secretaria de Estado do Meio Ambiente e Desenvolvimento Sustentável</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SEMA – </w:t>
      </w:r>
      <w:r w:rsidRPr="000E7AC8">
        <w:rPr>
          <w:rFonts w:ascii="Arial" w:eastAsia="Arial" w:hAnsi="Arial" w:cs="Arial"/>
          <w:sz w:val="24"/>
          <w:szCs w:val="24"/>
        </w:rPr>
        <w:t>Secretaria de Estado do Meio Ambiente</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SEUC – </w:t>
      </w:r>
      <w:r w:rsidRPr="000E7AC8">
        <w:rPr>
          <w:rFonts w:ascii="Arial" w:eastAsia="Arial" w:hAnsi="Arial" w:cs="Arial"/>
          <w:sz w:val="24"/>
          <w:szCs w:val="24"/>
        </w:rPr>
        <w:t>Sistema Estadual de Unidades de Conservação</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SICAR</w:t>
      </w:r>
      <w:r w:rsidRPr="000E7AC8">
        <w:rPr>
          <w:rFonts w:ascii="Arial" w:eastAsia="Arial" w:hAnsi="Arial" w:cs="Arial"/>
          <w:sz w:val="24"/>
          <w:szCs w:val="24"/>
        </w:rPr>
        <w:t xml:space="preserve"> </w:t>
      </w:r>
      <w:r w:rsidRPr="000E7AC8">
        <w:rPr>
          <w:rFonts w:ascii="Arial" w:eastAsia="Arial" w:hAnsi="Arial" w:cs="Arial"/>
          <w:b/>
          <w:sz w:val="24"/>
          <w:szCs w:val="24"/>
        </w:rPr>
        <w:t>–</w:t>
      </w:r>
      <w:r w:rsidRPr="000E7AC8">
        <w:rPr>
          <w:rFonts w:ascii="Arial" w:eastAsia="Arial" w:hAnsi="Arial" w:cs="Arial"/>
          <w:sz w:val="24"/>
          <w:szCs w:val="24"/>
        </w:rPr>
        <w:t xml:space="preserve">  Sistema Nacional de Cadastro Ambiental Rural</w:t>
      </w:r>
    </w:p>
    <w:p w:rsidR="002B7C6D" w:rsidRPr="000E7AC8" w:rsidRDefault="00E75F7D">
      <w:pPr>
        <w:spacing w:after="200" w:line="276" w:lineRule="auto"/>
        <w:rPr>
          <w:rFonts w:ascii="Arial" w:eastAsia="Arial" w:hAnsi="Arial" w:cs="Arial"/>
          <w:b/>
          <w:sz w:val="24"/>
          <w:szCs w:val="24"/>
        </w:rPr>
      </w:pPr>
      <w:r w:rsidRPr="000E7AC8">
        <w:rPr>
          <w:rFonts w:ascii="Arial" w:eastAsia="Arial" w:hAnsi="Arial" w:cs="Arial"/>
          <w:b/>
          <w:sz w:val="24"/>
          <w:szCs w:val="24"/>
        </w:rPr>
        <w:t>SISNAMA</w:t>
      </w:r>
      <w:r w:rsidRPr="000E7AC8">
        <w:rPr>
          <w:rFonts w:ascii="Arial" w:eastAsia="Arial" w:hAnsi="Arial" w:cs="Arial"/>
          <w:sz w:val="24"/>
          <w:szCs w:val="24"/>
        </w:rPr>
        <w:t xml:space="preserve"> </w:t>
      </w:r>
      <w:r w:rsidRPr="000E7AC8">
        <w:rPr>
          <w:rFonts w:ascii="Arial" w:eastAsia="Arial" w:hAnsi="Arial" w:cs="Arial"/>
          <w:b/>
          <w:sz w:val="24"/>
          <w:szCs w:val="24"/>
        </w:rPr>
        <w:t xml:space="preserve">– </w:t>
      </w:r>
      <w:r w:rsidRPr="000E7AC8">
        <w:rPr>
          <w:rFonts w:ascii="Arial" w:eastAsia="Arial" w:hAnsi="Arial" w:cs="Arial"/>
          <w:sz w:val="24"/>
          <w:szCs w:val="24"/>
        </w:rPr>
        <w:t>Sistema Nacional de Meio Ambiente</w:t>
      </w:r>
    </w:p>
    <w:p w:rsidR="002B7C6D" w:rsidRPr="000E7AC8" w:rsidRDefault="00E75F7D">
      <w:pPr>
        <w:spacing w:after="200" w:line="276" w:lineRule="auto"/>
        <w:rPr>
          <w:rFonts w:ascii="Arial" w:eastAsia="Arial" w:hAnsi="Arial" w:cs="Arial"/>
          <w:b/>
          <w:sz w:val="24"/>
          <w:szCs w:val="24"/>
          <w:highlight w:val="green"/>
        </w:rPr>
      </w:pPr>
      <w:r w:rsidRPr="000E7AC8">
        <w:rPr>
          <w:rFonts w:ascii="Arial" w:eastAsia="Arial" w:hAnsi="Arial" w:cs="Arial"/>
          <w:b/>
          <w:sz w:val="24"/>
          <w:szCs w:val="24"/>
        </w:rPr>
        <w:t xml:space="preserve">SFB – </w:t>
      </w:r>
      <w:r w:rsidRPr="000E7AC8">
        <w:rPr>
          <w:rFonts w:ascii="Arial" w:eastAsia="Arial" w:hAnsi="Arial" w:cs="Arial"/>
          <w:sz w:val="24"/>
          <w:szCs w:val="24"/>
        </w:rPr>
        <w:t>Serviço Florestal Brasileiro</w:t>
      </w:r>
    </w:p>
    <w:p w:rsidR="002B7C6D" w:rsidRPr="000E7AC8" w:rsidRDefault="00E75F7D">
      <w:pPr>
        <w:spacing w:after="200" w:line="276" w:lineRule="auto"/>
        <w:rPr>
          <w:rFonts w:ascii="Arial" w:eastAsia="Arial" w:hAnsi="Arial" w:cs="Arial"/>
          <w:b/>
          <w:sz w:val="24"/>
          <w:szCs w:val="24"/>
        </w:rPr>
      </w:pPr>
      <w:r w:rsidRPr="000E7AC8">
        <w:rPr>
          <w:rFonts w:ascii="Arial" w:eastAsia="Arial" w:hAnsi="Arial" w:cs="Arial"/>
          <w:b/>
          <w:sz w:val="24"/>
          <w:szCs w:val="24"/>
        </w:rPr>
        <w:t xml:space="preserve">TI – </w:t>
      </w:r>
      <w:r w:rsidRPr="000E7AC8">
        <w:rPr>
          <w:rFonts w:ascii="Arial" w:eastAsia="Arial" w:hAnsi="Arial" w:cs="Arial"/>
          <w:sz w:val="24"/>
          <w:szCs w:val="24"/>
        </w:rPr>
        <w:t>Terra Indígena</w:t>
      </w:r>
    </w:p>
    <w:p w:rsidR="002B7C6D" w:rsidRPr="000E7AC8" w:rsidRDefault="00E75F7D">
      <w:pPr>
        <w:spacing w:after="200" w:line="276" w:lineRule="auto"/>
        <w:rPr>
          <w:rFonts w:ascii="Arial" w:eastAsia="Arial" w:hAnsi="Arial" w:cs="Arial"/>
          <w:b/>
          <w:sz w:val="24"/>
          <w:szCs w:val="24"/>
        </w:rPr>
      </w:pPr>
      <w:r w:rsidRPr="000E7AC8">
        <w:rPr>
          <w:rFonts w:ascii="Arial" w:eastAsia="Arial" w:hAnsi="Arial" w:cs="Arial"/>
          <w:b/>
          <w:sz w:val="24"/>
          <w:szCs w:val="24"/>
        </w:rPr>
        <w:t xml:space="preserve">UC – </w:t>
      </w:r>
      <w:r w:rsidRPr="000E7AC8">
        <w:rPr>
          <w:rFonts w:ascii="Arial" w:eastAsia="Arial" w:hAnsi="Arial" w:cs="Arial"/>
          <w:sz w:val="24"/>
          <w:szCs w:val="24"/>
        </w:rPr>
        <w:t>Unidade de Conservação</w:t>
      </w:r>
      <w:r w:rsidRPr="000E7AC8">
        <w:rPr>
          <w:rFonts w:ascii="Arial" w:eastAsia="Arial" w:hAnsi="Arial" w:cs="Arial"/>
          <w:b/>
          <w:sz w:val="24"/>
          <w:szCs w:val="24"/>
        </w:rPr>
        <w:t xml:space="preserve"> </w:t>
      </w:r>
    </w:p>
    <w:p w:rsidR="002B7C6D" w:rsidRPr="000E7AC8" w:rsidRDefault="00E75F7D">
      <w:pPr>
        <w:spacing w:after="200" w:line="276" w:lineRule="auto"/>
        <w:rPr>
          <w:rFonts w:ascii="Arial" w:eastAsia="Arial" w:hAnsi="Arial" w:cs="Arial"/>
          <w:sz w:val="24"/>
          <w:szCs w:val="24"/>
        </w:rPr>
      </w:pPr>
      <w:r w:rsidRPr="000E7AC8">
        <w:rPr>
          <w:rFonts w:ascii="Arial" w:eastAsia="Arial" w:hAnsi="Arial" w:cs="Arial"/>
          <w:b/>
          <w:sz w:val="24"/>
          <w:szCs w:val="24"/>
        </w:rPr>
        <w:t xml:space="preserve">UMF – </w:t>
      </w:r>
      <w:r w:rsidRPr="000E7AC8">
        <w:rPr>
          <w:rFonts w:ascii="Arial" w:eastAsia="Arial" w:hAnsi="Arial" w:cs="Arial"/>
          <w:sz w:val="24"/>
          <w:szCs w:val="24"/>
        </w:rPr>
        <w:t>Unidade de Manejo Florestal</w:t>
      </w:r>
    </w:p>
    <w:p w:rsidR="00675F69" w:rsidRPr="000E7AC8" w:rsidRDefault="00E75F7D" w:rsidP="00675F69">
      <w:pPr>
        <w:spacing w:after="200" w:line="276" w:lineRule="auto"/>
        <w:rPr>
          <w:rFonts w:ascii="Arial" w:hAnsi="Arial" w:cs="Arial"/>
        </w:rPr>
      </w:pPr>
      <w:r w:rsidRPr="000E7AC8">
        <w:rPr>
          <w:rFonts w:ascii="Arial" w:eastAsia="Arial" w:hAnsi="Arial" w:cs="Arial"/>
          <w:b/>
          <w:sz w:val="24"/>
          <w:szCs w:val="24"/>
        </w:rPr>
        <w:t>ZEE –</w:t>
      </w:r>
      <w:r w:rsidRPr="000E7AC8">
        <w:rPr>
          <w:rFonts w:ascii="Arial" w:eastAsia="Arial" w:hAnsi="Arial" w:cs="Arial"/>
          <w:sz w:val="24"/>
          <w:szCs w:val="24"/>
        </w:rPr>
        <w:t xml:space="preserve"> Zoneamento Econômico Ecológico</w:t>
      </w:r>
    </w:p>
    <w:p w:rsidR="00675F69" w:rsidRPr="000E7AC8" w:rsidRDefault="00675F69" w:rsidP="00675F69">
      <w:pPr>
        <w:spacing w:after="200" w:line="276" w:lineRule="auto"/>
        <w:rPr>
          <w:rFonts w:ascii="Arial" w:hAnsi="Arial" w:cs="Arial"/>
        </w:rPr>
      </w:pPr>
    </w:p>
    <w:p w:rsidR="00675F69" w:rsidRPr="000E7AC8" w:rsidRDefault="00675F69" w:rsidP="00675F69">
      <w:pPr>
        <w:spacing w:after="200" w:line="276" w:lineRule="auto"/>
        <w:rPr>
          <w:rFonts w:ascii="Arial" w:hAnsi="Arial" w:cs="Arial"/>
        </w:rPr>
      </w:pPr>
    </w:p>
    <w:p w:rsidR="00675F69" w:rsidRPr="000E7AC8" w:rsidRDefault="00675F69" w:rsidP="00675F69">
      <w:pPr>
        <w:spacing w:after="200" w:line="276" w:lineRule="auto"/>
        <w:rPr>
          <w:rFonts w:ascii="Arial" w:hAnsi="Arial" w:cs="Arial"/>
        </w:rPr>
      </w:pPr>
    </w:p>
    <w:p w:rsidR="00675F69" w:rsidRPr="000E7AC8" w:rsidRDefault="00675F69" w:rsidP="00675F69">
      <w:pPr>
        <w:spacing w:after="200" w:line="276" w:lineRule="auto"/>
        <w:rPr>
          <w:rFonts w:ascii="Arial" w:hAnsi="Arial" w:cs="Arial"/>
        </w:rPr>
      </w:pPr>
    </w:p>
    <w:p w:rsidR="00675F69" w:rsidRPr="000E7AC8" w:rsidRDefault="00675F69" w:rsidP="00675F69">
      <w:pPr>
        <w:spacing w:after="200" w:line="276" w:lineRule="auto"/>
        <w:rPr>
          <w:rFonts w:ascii="Arial" w:hAnsi="Arial" w:cs="Arial"/>
        </w:rPr>
      </w:pPr>
    </w:p>
    <w:p w:rsidR="00675F69" w:rsidRPr="000E7AC8" w:rsidRDefault="00675F69" w:rsidP="00675F69">
      <w:pPr>
        <w:spacing w:after="200" w:line="276" w:lineRule="auto"/>
        <w:rPr>
          <w:rFonts w:ascii="Arial" w:hAnsi="Arial" w:cs="Arial"/>
        </w:rPr>
      </w:pPr>
    </w:p>
    <w:p w:rsidR="00675F69" w:rsidRPr="000E7AC8" w:rsidRDefault="00675F69" w:rsidP="00675F69">
      <w:pPr>
        <w:spacing w:after="200" w:line="276" w:lineRule="auto"/>
        <w:rPr>
          <w:rFonts w:ascii="Arial" w:hAnsi="Arial" w:cs="Arial"/>
        </w:rPr>
      </w:pPr>
    </w:p>
    <w:p w:rsidR="00675F69" w:rsidRPr="000E7AC8" w:rsidRDefault="00675F69" w:rsidP="00675F69">
      <w:pPr>
        <w:spacing w:after="200" w:line="276" w:lineRule="auto"/>
        <w:rPr>
          <w:rFonts w:ascii="Arial" w:hAnsi="Arial" w:cs="Arial"/>
        </w:rPr>
      </w:pPr>
    </w:p>
    <w:p w:rsidR="007A345C" w:rsidRPr="000E7AC8" w:rsidRDefault="00E75F7D" w:rsidP="00222F5E">
      <w:pPr>
        <w:pStyle w:val="CabealhodoSumrio"/>
        <w:jc w:val="center"/>
        <w:rPr>
          <w:rFonts w:ascii="Arial" w:eastAsia="Arial" w:hAnsi="Arial" w:cs="Arial"/>
          <w:b/>
          <w:color w:val="38761D"/>
          <w:sz w:val="28"/>
          <w:szCs w:val="28"/>
        </w:rPr>
      </w:pPr>
      <w:r w:rsidRPr="000E7AC8">
        <w:rPr>
          <w:rFonts w:ascii="Arial" w:eastAsia="Arial" w:hAnsi="Arial" w:cs="Arial"/>
          <w:b/>
          <w:color w:val="38761D"/>
          <w:sz w:val="28"/>
          <w:szCs w:val="28"/>
        </w:rPr>
        <w:lastRenderedPageBreak/>
        <w:t>SUMÁRIO</w:t>
      </w:r>
      <w:bookmarkStart w:id="1" w:name="_heading=h.30j0zll" w:colFirst="0" w:colLast="0"/>
      <w:bookmarkEnd w:id="1"/>
    </w:p>
    <w:sdt>
      <w:sdtPr>
        <w:rPr>
          <w:rFonts w:ascii="Arial" w:eastAsia="Times New Roman" w:hAnsi="Arial" w:cs="Arial"/>
          <w:color w:val="auto"/>
          <w:sz w:val="20"/>
          <w:szCs w:val="20"/>
        </w:rPr>
        <w:id w:val="-229076182"/>
        <w:docPartObj>
          <w:docPartGallery w:val="Table of Contents"/>
          <w:docPartUnique/>
        </w:docPartObj>
      </w:sdtPr>
      <w:sdtEndPr>
        <w:rPr>
          <w:b/>
          <w:bCs/>
        </w:rPr>
      </w:sdtEndPr>
      <w:sdtContent>
        <w:p w:rsidR="007A345C" w:rsidRPr="000E7AC8" w:rsidRDefault="007A345C">
          <w:pPr>
            <w:pStyle w:val="CabealhodoSumrio"/>
            <w:rPr>
              <w:rFonts w:ascii="Arial" w:eastAsia="Arial" w:hAnsi="Arial" w:cs="Arial"/>
              <w:b/>
              <w:color w:val="38761D"/>
              <w:sz w:val="28"/>
              <w:szCs w:val="28"/>
            </w:rPr>
          </w:pPr>
        </w:p>
        <w:p w:rsidR="00D42023" w:rsidRPr="000E7AC8" w:rsidRDefault="007A345C">
          <w:pPr>
            <w:pStyle w:val="Sumrio1"/>
            <w:rPr>
              <w:rFonts w:ascii="Arial" w:eastAsiaTheme="minorEastAsia" w:hAnsi="Arial" w:cs="Arial"/>
              <w:noProof/>
              <w:sz w:val="22"/>
              <w:szCs w:val="22"/>
            </w:rPr>
          </w:pPr>
          <w:r w:rsidRPr="000E7AC8">
            <w:rPr>
              <w:rFonts w:ascii="Arial" w:hAnsi="Arial" w:cs="Arial"/>
            </w:rPr>
            <w:fldChar w:fldCharType="begin"/>
          </w:r>
          <w:r w:rsidRPr="000E7AC8">
            <w:rPr>
              <w:rFonts w:ascii="Arial" w:hAnsi="Arial" w:cs="Arial"/>
            </w:rPr>
            <w:instrText xml:space="preserve"> TOC \o "1-3" \h \z \u </w:instrText>
          </w:r>
          <w:r w:rsidRPr="000E7AC8">
            <w:rPr>
              <w:rFonts w:ascii="Arial" w:hAnsi="Arial" w:cs="Arial"/>
            </w:rPr>
            <w:fldChar w:fldCharType="separate"/>
          </w:r>
          <w:hyperlink w:anchor="_Toc180138733" w:history="1">
            <w:r w:rsidR="00D42023" w:rsidRPr="000E7AC8">
              <w:rPr>
                <w:rStyle w:val="Hyperlink"/>
                <w:rFonts w:ascii="Arial" w:eastAsia="Arial" w:hAnsi="Arial" w:cs="Arial"/>
                <w:b/>
                <w:noProof/>
              </w:rPr>
              <w:t>1.</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INTRODUÇÃO</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_Toc180138733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8</w:t>
            </w:r>
            <w:r w:rsidR="00D42023" w:rsidRPr="000E7AC8">
              <w:rPr>
                <w:rFonts w:ascii="Arial" w:hAnsi="Arial" w:cs="Arial"/>
                <w:noProof/>
                <w:webHidden/>
              </w:rPr>
              <w:fldChar w:fldCharType="end"/>
            </w:r>
          </w:hyperlink>
        </w:p>
        <w:p w:rsidR="00D42023" w:rsidRPr="000E7AC8" w:rsidRDefault="00CA56D3">
          <w:pPr>
            <w:pStyle w:val="Sumrio1"/>
            <w:rPr>
              <w:rFonts w:ascii="Arial" w:eastAsiaTheme="minorEastAsia" w:hAnsi="Arial" w:cs="Arial"/>
              <w:noProof/>
              <w:sz w:val="22"/>
              <w:szCs w:val="22"/>
            </w:rPr>
          </w:pPr>
          <w:hyperlink w:anchor="_Toc180138734" w:history="1">
            <w:r w:rsidR="00D42023" w:rsidRPr="000E7AC8">
              <w:rPr>
                <w:rStyle w:val="Hyperlink"/>
                <w:rFonts w:ascii="Arial" w:eastAsia="Arial" w:hAnsi="Arial" w:cs="Arial"/>
                <w:b/>
                <w:noProof/>
              </w:rPr>
              <w:t>2.</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PLANO DE OUTORGA FLORESTAL ESTADUAL – POFE</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_Toc180138734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10</w:t>
            </w:r>
            <w:r w:rsidR="00D42023" w:rsidRPr="000E7AC8">
              <w:rPr>
                <w:rFonts w:ascii="Arial" w:hAnsi="Arial" w:cs="Arial"/>
                <w:noProof/>
                <w:webHidden/>
              </w:rPr>
              <w:fldChar w:fldCharType="end"/>
            </w:r>
          </w:hyperlink>
        </w:p>
        <w:p w:rsidR="00D42023" w:rsidRPr="000E7AC8" w:rsidRDefault="00CA56D3">
          <w:pPr>
            <w:pStyle w:val="Sumrio1"/>
            <w:rPr>
              <w:rFonts w:ascii="Arial" w:eastAsiaTheme="minorEastAsia" w:hAnsi="Arial" w:cs="Arial"/>
              <w:noProof/>
              <w:sz w:val="22"/>
              <w:szCs w:val="22"/>
            </w:rPr>
          </w:pPr>
          <w:hyperlink w:anchor="_Toc180138735" w:history="1">
            <w:r w:rsidR="00D42023" w:rsidRPr="000E7AC8">
              <w:rPr>
                <w:rStyle w:val="Hyperlink"/>
                <w:rFonts w:ascii="Arial" w:eastAsia="Arial" w:hAnsi="Arial" w:cs="Arial"/>
                <w:b/>
                <w:noProof/>
              </w:rPr>
              <w:t>3.</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GESTÃO DAS FLORESTAS PÚBLICAS ESTADUAIS</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_Toc180138735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11</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36" w:history="1">
            <w:r w:rsidR="00D42023" w:rsidRPr="000E7AC8">
              <w:rPr>
                <w:rStyle w:val="Hyperlink"/>
                <w:rFonts w:ascii="Arial" w:eastAsia="Arial" w:hAnsi="Arial" w:cs="Arial"/>
                <w:b/>
                <w:noProof/>
              </w:rPr>
              <w:t>3.1. FLORESTAS PÚBLICAS ESTADUAIS DO AMAZONAS</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_Toc180138736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14</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37" w:history="1">
            <w:r w:rsidR="00D42023" w:rsidRPr="000E7AC8">
              <w:rPr>
                <w:rStyle w:val="Hyperlink"/>
                <w:rFonts w:ascii="Arial" w:eastAsia="Arial" w:hAnsi="Arial" w:cs="Arial"/>
                <w:b/>
                <w:noProof/>
              </w:rPr>
              <w:t>3.2. DISTRIBUIÇÃO E CLASSIFICAÇÃO DAS FLORESTAS PÚBLICAS NO ESTADO DO AMAZONAS</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_Toc180138737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17</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38" w:history="1">
            <w:r w:rsidR="00D42023" w:rsidRPr="000E7AC8">
              <w:rPr>
                <w:rStyle w:val="Hyperlink"/>
                <w:rFonts w:ascii="Arial" w:eastAsia="Arial" w:hAnsi="Arial" w:cs="Arial"/>
                <w:b/>
                <w:noProof/>
              </w:rPr>
              <w:t>3.3. FLORESTAS PÚBLICAS ESTADUAIS DESTINADAS PARA USO COMUNITÁRIO</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_Toc180138738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19</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39" w:history="1">
            <w:r w:rsidR="00D42023" w:rsidRPr="000E7AC8">
              <w:rPr>
                <w:rStyle w:val="Hyperlink"/>
                <w:rFonts w:ascii="Arial" w:eastAsia="Arial" w:hAnsi="Arial" w:cs="Arial"/>
                <w:b/>
                <w:noProof/>
              </w:rPr>
              <w:t>3.4.</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SELEÇÃO DAS ÁREAS PARA CONCESSÕES FLORESTAIS</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_Toc180138739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20</w:t>
            </w:r>
            <w:r w:rsidR="00D42023" w:rsidRPr="000E7AC8">
              <w:rPr>
                <w:rFonts w:ascii="Arial" w:hAnsi="Arial" w:cs="Arial"/>
                <w:noProof/>
                <w:webHidden/>
              </w:rPr>
              <w:fldChar w:fldCharType="end"/>
            </w:r>
          </w:hyperlink>
        </w:p>
        <w:p w:rsidR="00D42023" w:rsidRPr="000E7AC8" w:rsidRDefault="00CA56D3">
          <w:pPr>
            <w:pStyle w:val="Sumrio3"/>
            <w:rPr>
              <w:rFonts w:ascii="Arial" w:eastAsiaTheme="minorEastAsia" w:hAnsi="Arial" w:cs="Arial"/>
              <w:noProof/>
              <w:sz w:val="22"/>
              <w:szCs w:val="22"/>
            </w:rPr>
          </w:pPr>
          <w:hyperlink w:anchor="_Toc180138740" w:history="1">
            <w:r w:rsidR="00D42023" w:rsidRPr="000E7AC8">
              <w:rPr>
                <w:rStyle w:val="Hyperlink"/>
                <w:rFonts w:ascii="Arial" w:eastAsia="Arial" w:hAnsi="Arial" w:cs="Arial"/>
                <w:b/>
                <w:noProof/>
              </w:rPr>
              <w:t>3.4.1. Exclusão</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_Toc180138740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20</w:t>
            </w:r>
            <w:r w:rsidR="00D42023" w:rsidRPr="000E7AC8">
              <w:rPr>
                <w:rFonts w:ascii="Arial" w:hAnsi="Arial" w:cs="Arial"/>
                <w:noProof/>
                <w:webHidden/>
              </w:rPr>
              <w:fldChar w:fldCharType="end"/>
            </w:r>
          </w:hyperlink>
        </w:p>
        <w:p w:rsidR="00D42023" w:rsidRPr="000E7AC8" w:rsidRDefault="00CA56D3">
          <w:pPr>
            <w:pStyle w:val="Sumrio3"/>
            <w:rPr>
              <w:rFonts w:ascii="Arial" w:eastAsiaTheme="minorEastAsia" w:hAnsi="Arial" w:cs="Arial"/>
              <w:noProof/>
              <w:sz w:val="22"/>
              <w:szCs w:val="22"/>
            </w:rPr>
          </w:pPr>
          <w:hyperlink w:anchor="_Toc180138741" w:history="1">
            <w:r w:rsidR="00D42023" w:rsidRPr="000E7AC8">
              <w:rPr>
                <w:rStyle w:val="Hyperlink"/>
                <w:rFonts w:ascii="Arial" w:eastAsia="Arial" w:hAnsi="Arial" w:cs="Arial"/>
                <w:b/>
                <w:noProof/>
              </w:rPr>
              <w:t>3.4.2. Inclusão</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_Toc180138741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20</w:t>
            </w:r>
            <w:r w:rsidR="00D42023" w:rsidRPr="000E7AC8">
              <w:rPr>
                <w:rFonts w:ascii="Arial" w:hAnsi="Arial" w:cs="Arial"/>
                <w:noProof/>
                <w:webHidden/>
              </w:rPr>
              <w:fldChar w:fldCharType="end"/>
            </w:r>
          </w:hyperlink>
        </w:p>
        <w:p w:rsidR="00D42023" w:rsidRPr="000E7AC8" w:rsidRDefault="00CA56D3">
          <w:pPr>
            <w:pStyle w:val="Sumrio1"/>
            <w:rPr>
              <w:rFonts w:ascii="Arial" w:eastAsiaTheme="minorEastAsia" w:hAnsi="Arial" w:cs="Arial"/>
              <w:noProof/>
              <w:sz w:val="22"/>
              <w:szCs w:val="22"/>
            </w:rPr>
          </w:pPr>
          <w:hyperlink w:anchor="_Toc180138742" w:history="1">
            <w:r w:rsidR="00D42023" w:rsidRPr="000E7AC8">
              <w:rPr>
                <w:rStyle w:val="Hyperlink"/>
                <w:rFonts w:ascii="Arial" w:eastAsia="Arial" w:hAnsi="Arial" w:cs="Arial"/>
                <w:b/>
                <w:noProof/>
              </w:rPr>
              <w:t>4. ZONEAMENTO DAS FLORESTAS ESTADUAIS</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_Toc180138742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21</w:t>
            </w:r>
            <w:r w:rsidR="00D42023" w:rsidRPr="000E7AC8">
              <w:rPr>
                <w:rFonts w:ascii="Arial" w:hAnsi="Arial" w:cs="Arial"/>
                <w:noProof/>
                <w:webHidden/>
              </w:rPr>
              <w:fldChar w:fldCharType="end"/>
            </w:r>
          </w:hyperlink>
        </w:p>
        <w:p w:rsidR="00D42023" w:rsidRPr="000E7AC8" w:rsidRDefault="00CA56D3">
          <w:pPr>
            <w:pStyle w:val="Sumrio1"/>
            <w:rPr>
              <w:rFonts w:ascii="Arial" w:eastAsiaTheme="minorEastAsia" w:hAnsi="Arial" w:cs="Arial"/>
              <w:noProof/>
              <w:sz w:val="22"/>
              <w:szCs w:val="22"/>
            </w:rPr>
          </w:pPr>
          <w:hyperlink w:anchor="_Toc180138743" w:history="1">
            <w:r w:rsidR="00D42023" w:rsidRPr="000E7AC8">
              <w:rPr>
                <w:rStyle w:val="Hyperlink"/>
                <w:rFonts w:ascii="Arial" w:eastAsia="Arial" w:hAnsi="Arial" w:cs="Arial"/>
                <w:b/>
                <w:noProof/>
              </w:rPr>
              <w:t>5. FLORESTAS PÚBLICAS ESTADUAIS PASSÍVEIS DE CONCESSÃO NO ESTADO DO AMAZONAS</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_Toc180138743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23</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44" w:history="1">
            <w:r w:rsidR="00D42023" w:rsidRPr="000E7AC8">
              <w:rPr>
                <w:rStyle w:val="Hyperlink"/>
                <w:rFonts w:ascii="Arial" w:eastAsia="Arial" w:hAnsi="Arial" w:cs="Arial"/>
                <w:b/>
                <w:noProof/>
              </w:rPr>
              <w:t>5.1. MOSAICO DE APUÍ</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_Toc180138744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27</w:t>
            </w:r>
            <w:r w:rsidR="00D42023" w:rsidRPr="000E7AC8">
              <w:rPr>
                <w:rFonts w:ascii="Arial" w:hAnsi="Arial" w:cs="Arial"/>
                <w:noProof/>
                <w:webHidden/>
              </w:rPr>
              <w:fldChar w:fldCharType="end"/>
            </w:r>
          </w:hyperlink>
        </w:p>
        <w:p w:rsidR="00D42023" w:rsidRPr="000E7AC8" w:rsidRDefault="00CA56D3">
          <w:pPr>
            <w:pStyle w:val="Sumrio3"/>
            <w:rPr>
              <w:rFonts w:ascii="Arial" w:eastAsiaTheme="minorEastAsia" w:hAnsi="Arial" w:cs="Arial"/>
              <w:noProof/>
              <w:sz w:val="22"/>
              <w:szCs w:val="22"/>
            </w:rPr>
          </w:pPr>
          <w:hyperlink w:anchor="_Toc180138745" w:history="1">
            <w:r w:rsidR="00D42023" w:rsidRPr="000E7AC8">
              <w:rPr>
                <w:rStyle w:val="Hyperlink"/>
                <w:rFonts w:ascii="Arial" w:eastAsia="Arial" w:hAnsi="Arial" w:cs="Arial"/>
                <w:b/>
                <w:noProof/>
              </w:rPr>
              <w:t>5.1.1.</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Floresta Estadual de Apuí</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_Toc180138745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28</w:t>
            </w:r>
            <w:r w:rsidR="00D42023" w:rsidRPr="000E7AC8">
              <w:rPr>
                <w:rFonts w:ascii="Arial" w:hAnsi="Arial" w:cs="Arial"/>
                <w:noProof/>
                <w:webHidden/>
              </w:rPr>
              <w:fldChar w:fldCharType="end"/>
            </w:r>
          </w:hyperlink>
        </w:p>
        <w:p w:rsidR="00D42023" w:rsidRPr="000E7AC8" w:rsidRDefault="00CA56D3">
          <w:pPr>
            <w:pStyle w:val="Sumrio3"/>
            <w:rPr>
              <w:rFonts w:ascii="Arial" w:eastAsiaTheme="minorEastAsia" w:hAnsi="Arial" w:cs="Arial"/>
              <w:noProof/>
              <w:sz w:val="22"/>
              <w:szCs w:val="22"/>
            </w:rPr>
          </w:pPr>
          <w:hyperlink w:anchor="_Toc180138746" w:history="1">
            <w:r w:rsidR="00D42023" w:rsidRPr="000E7AC8">
              <w:rPr>
                <w:rStyle w:val="Hyperlink"/>
                <w:rFonts w:ascii="Arial" w:eastAsia="Arial" w:hAnsi="Arial" w:cs="Arial"/>
                <w:b/>
                <w:noProof/>
              </w:rPr>
              <w:t>5.1.2.</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Floresta Estadual do Aripuanã</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_Toc180138746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30</w:t>
            </w:r>
            <w:r w:rsidR="00D42023" w:rsidRPr="000E7AC8">
              <w:rPr>
                <w:rFonts w:ascii="Arial" w:hAnsi="Arial" w:cs="Arial"/>
                <w:noProof/>
                <w:webHidden/>
              </w:rPr>
              <w:fldChar w:fldCharType="end"/>
            </w:r>
          </w:hyperlink>
        </w:p>
        <w:p w:rsidR="00D42023" w:rsidRPr="000E7AC8" w:rsidRDefault="00CA56D3">
          <w:pPr>
            <w:pStyle w:val="Sumrio3"/>
            <w:rPr>
              <w:rFonts w:ascii="Arial" w:eastAsiaTheme="minorEastAsia" w:hAnsi="Arial" w:cs="Arial"/>
              <w:noProof/>
              <w:sz w:val="22"/>
              <w:szCs w:val="22"/>
            </w:rPr>
          </w:pPr>
          <w:hyperlink w:anchor="_Toc180138747" w:history="1">
            <w:r w:rsidR="00D42023" w:rsidRPr="000E7AC8">
              <w:rPr>
                <w:rStyle w:val="Hyperlink"/>
                <w:rFonts w:ascii="Arial" w:eastAsia="Arial" w:hAnsi="Arial" w:cs="Arial"/>
                <w:b/>
                <w:noProof/>
              </w:rPr>
              <w:t>5.1.3.</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 xml:space="preserve"> Floresta Estadual de Manicoré</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_Toc180138747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32</w:t>
            </w:r>
            <w:r w:rsidR="00D42023" w:rsidRPr="000E7AC8">
              <w:rPr>
                <w:rFonts w:ascii="Arial" w:hAnsi="Arial" w:cs="Arial"/>
                <w:noProof/>
                <w:webHidden/>
              </w:rPr>
              <w:fldChar w:fldCharType="end"/>
            </w:r>
          </w:hyperlink>
        </w:p>
        <w:p w:rsidR="00D42023" w:rsidRPr="000E7AC8" w:rsidRDefault="00CA56D3">
          <w:pPr>
            <w:pStyle w:val="Sumrio3"/>
            <w:rPr>
              <w:rFonts w:ascii="Arial" w:eastAsiaTheme="minorEastAsia" w:hAnsi="Arial" w:cs="Arial"/>
              <w:noProof/>
              <w:sz w:val="22"/>
              <w:szCs w:val="22"/>
            </w:rPr>
          </w:pPr>
          <w:hyperlink w:anchor="_Toc180138748" w:history="1">
            <w:r w:rsidR="00D42023" w:rsidRPr="000E7AC8">
              <w:rPr>
                <w:rStyle w:val="Hyperlink"/>
                <w:rFonts w:ascii="Arial" w:eastAsia="Arial" w:hAnsi="Arial" w:cs="Arial"/>
                <w:b/>
                <w:noProof/>
              </w:rPr>
              <w:t>5.1.4.</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Floresta Estadual de Sucunduri</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_Toc180138748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34</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49" w:history="1">
            <w:r w:rsidR="00D42023" w:rsidRPr="000E7AC8">
              <w:rPr>
                <w:rStyle w:val="Hyperlink"/>
                <w:rFonts w:ascii="Arial" w:eastAsia="Arial" w:hAnsi="Arial" w:cs="Arial"/>
                <w:b/>
                <w:noProof/>
              </w:rPr>
              <w:t>5.2.</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FLORESTA ESTADUAL DE CANUTAMA</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_Toc180138749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36</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50" w:history="1">
            <w:r w:rsidR="00D42023" w:rsidRPr="000E7AC8">
              <w:rPr>
                <w:rStyle w:val="Hyperlink"/>
                <w:rFonts w:ascii="Arial" w:eastAsia="Arial" w:hAnsi="Arial" w:cs="Arial"/>
                <w:b/>
                <w:noProof/>
              </w:rPr>
              <w:t>5.3.</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FLORESTA ESTADUAL DE TAPAUÁ</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_Toc180138750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38</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51" w:history="1">
            <w:r w:rsidR="00D42023" w:rsidRPr="000E7AC8">
              <w:rPr>
                <w:rStyle w:val="Hyperlink"/>
                <w:rFonts w:ascii="Arial" w:eastAsia="Arial" w:hAnsi="Arial" w:cs="Arial"/>
                <w:b/>
                <w:noProof/>
              </w:rPr>
              <w:t>5.4.</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FLORESTA ESTADUAL DE MAUÉS</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_Toc180138751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41</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52" w:history="1">
            <w:r w:rsidR="00D42023" w:rsidRPr="000E7AC8">
              <w:rPr>
                <w:rStyle w:val="Hyperlink"/>
                <w:rFonts w:ascii="Arial" w:eastAsia="Arial" w:hAnsi="Arial" w:cs="Arial"/>
                <w:b/>
                <w:noProof/>
              </w:rPr>
              <w:t>5.5.</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FLORESTA ESTADUAL DO RIO URUBU</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_Toc180138752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45</w:t>
            </w:r>
            <w:r w:rsidR="00D42023" w:rsidRPr="000E7AC8">
              <w:rPr>
                <w:rFonts w:ascii="Arial" w:hAnsi="Arial" w:cs="Arial"/>
                <w:noProof/>
                <w:webHidden/>
              </w:rPr>
              <w:fldChar w:fldCharType="end"/>
            </w:r>
          </w:hyperlink>
        </w:p>
        <w:p w:rsidR="00D42023" w:rsidRPr="000E7AC8" w:rsidRDefault="00CA56D3">
          <w:pPr>
            <w:pStyle w:val="Sumrio1"/>
            <w:rPr>
              <w:rFonts w:ascii="Arial" w:eastAsiaTheme="minorEastAsia" w:hAnsi="Arial" w:cs="Arial"/>
              <w:noProof/>
              <w:sz w:val="22"/>
              <w:szCs w:val="22"/>
            </w:rPr>
          </w:pPr>
          <w:hyperlink w:anchor="_Toc180138753" w:history="1">
            <w:r w:rsidR="00D42023" w:rsidRPr="000E7AC8">
              <w:rPr>
                <w:rStyle w:val="Hyperlink"/>
                <w:rFonts w:ascii="Arial" w:eastAsia="Arial" w:hAnsi="Arial" w:cs="Arial"/>
                <w:b/>
                <w:noProof/>
              </w:rPr>
              <w:t>6. GLEBAS DESTINADAS A CONCESSÃO FLORESTAL</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_Toc180138753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47</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54" w:history="1">
            <w:r w:rsidR="00D42023" w:rsidRPr="000E7AC8">
              <w:rPr>
                <w:rStyle w:val="Hyperlink"/>
                <w:rFonts w:ascii="Arial" w:eastAsia="Arial" w:hAnsi="Arial" w:cs="Arial"/>
                <w:b/>
                <w:noProof/>
              </w:rPr>
              <w:t>6.1. GLEBA MUNDO NOVO</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_Toc180138754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48</w:t>
            </w:r>
            <w:r w:rsidR="00D42023" w:rsidRPr="000E7AC8">
              <w:rPr>
                <w:rFonts w:ascii="Arial" w:hAnsi="Arial" w:cs="Arial"/>
                <w:noProof/>
                <w:webHidden/>
              </w:rPr>
              <w:fldChar w:fldCharType="end"/>
            </w:r>
          </w:hyperlink>
        </w:p>
        <w:p w:rsidR="00D42023" w:rsidRPr="000E7AC8" w:rsidRDefault="00CA56D3">
          <w:pPr>
            <w:pStyle w:val="Sumrio1"/>
            <w:rPr>
              <w:rFonts w:ascii="Arial" w:eastAsiaTheme="minorEastAsia" w:hAnsi="Arial" w:cs="Arial"/>
              <w:noProof/>
              <w:sz w:val="22"/>
              <w:szCs w:val="22"/>
            </w:rPr>
          </w:pPr>
          <w:hyperlink w:anchor="_Toc180138755" w:history="1">
            <w:r w:rsidR="00D42023" w:rsidRPr="000E7AC8">
              <w:rPr>
                <w:rStyle w:val="Hyperlink"/>
                <w:rFonts w:ascii="Arial" w:eastAsia="Arial" w:hAnsi="Arial" w:cs="Arial"/>
                <w:b/>
                <w:noProof/>
              </w:rPr>
              <w:t>7. MECANISMOS DE ACESSIBILIDADE</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_Toc180138755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50</w:t>
            </w:r>
            <w:r w:rsidR="00D42023" w:rsidRPr="000E7AC8">
              <w:rPr>
                <w:rFonts w:ascii="Arial" w:hAnsi="Arial" w:cs="Arial"/>
                <w:noProof/>
                <w:webHidden/>
              </w:rPr>
              <w:fldChar w:fldCharType="end"/>
            </w:r>
          </w:hyperlink>
        </w:p>
        <w:p w:rsidR="00D42023" w:rsidRPr="000E7AC8" w:rsidRDefault="00CA56D3">
          <w:pPr>
            <w:pStyle w:val="Sumrio1"/>
            <w:rPr>
              <w:rFonts w:ascii="Arial" w:eastAsiaTheme="minorEastAsia" w:hAnsi="Arial" w:cs="Arial"/>
              <w:noProof/>
              <w:sz w:val="22"/>
              <w:szCs w:val="22"/>
            </w:rPr>
          </w:pPr>
          <w:hyperlink w:anchor="_Toc180138756" w:history="1">
            <w:r w:rsidR="00D42023" w:rsidRPr="000E7AC8">
              <w:rPr>
                <w:rStyle w:val="Hyperlink"/>
                <w:rFonts w:ascii="Arial" w:eastAsia="Arial" w:hAnsi="Arial" w:cs="Arial"/>
                <w:b/>
                <w:noProof/>
              </w:rPr>
              <w:t>8.</w:t>
            </w:r>
            <w:r w:rsidR="00D42023" w:rsidRPr="000E7AC8">
              <w:rPr>
                <w:rFonts w:ascii="Arial" w:eastAsiaTheme="minorEastAsia" w:hAnsi="Arial" w:cs="Arial"/>
                <w:noProof/>
                <w:sz w:val="22"/>
                <w:szCs w:val="22"/>
              </w:rPr>
              <w:tab/>
            </w:r>
            <w:r w:rsidR="00D42023" w:rsidRPr="000E7AC8">
              <w:rPr>
                <w:rStyle w:val="Hyperlink"/>
                <w:rFonts w:ascii="Arial" w:eastAsia="Arial" w:hAnsi="Arial" w:cs="Arial"/>
                <w:b/>
                <w:noProof/>
              </w:rPr>
              <w:t>SISTEMA DE FISCALIZAÇÃO E CONTROLE</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_Toc180138756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50</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57" w:history="1">
            <w:r w:rsidR="00D42023" w:rsidRPr="000E7AC8">
              <w:rPr>
                <w:rStyle w:val="Hyperlink"/>
                <w:rFonts w:ascii="Arial" w:eastAsia="Arial" w:hAnsi="Arial" w:cs="Arial"/>
                <w:b/>
                <w:noProof/>
              </w:rPr>
              <w:t>8.1. DA CONCESSÃO FLORESTAL</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_Toc180138757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50</w:t>
            </w:r>
            <w:r w:rsidR="00D42023" w:rsidRPr="000E7AC8">
              <w:rPr>
                <w:rFonts w:ascii="Arial" w:hAnsi="Arial" w:cs="Arial"/>
                <w:noProof/>
                <w:webHidden/>
              </w:rPr>
              <w:fldChar w:fldCharType="end"/>
            </w:r>
          </w:hyperlink>
        </w:p>
        <w:p w:rsidR="00D42023" w:rsidRPr="000E7AC8" w:rsidRDefault="00CA56D3">
          <w:pPr>
            <w:pStyle w:val="Sumrio2"/>
            <w:rPr>
              <w:rFonts w:ascii="Arial" w:eastAsiaTheme="minorEastAsia" w:hAnsi="Arial" w:cs="Arial"/>
              <w:noProof/>
              <w:sz w:val="22"/>
              <w:szCs w:val="22"/>
            </w:rPr>
          </w:pPr>
          <w:hyperlink w:anchor="_Toc180138758" w:history="1">
            <w:r w:rsidR="00D42023" w:rsidRPr="000E7AC8">
              <w:rPr>
                <w:rStyle w:val="Hyperlink"/>
                <w:rFonts w:ascii="Arial" w:eastAsia="Arial" w:hAnsi="Arial" w:cs="Arial"/>
                <w:b/>
                <w:noProof/>
              </w:rPr>
              <w:t>8.2. DO MANEJO FLORESTAL</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_Toc180138758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51</w:t>
            </w:r>
            <w:r w:rsidR="00D42023" w:rsidRPr="000E7AC8">
              <w:rPr>
                <w:rFonts w:ascii="Arial" w:hAnsi="Arial" w:cs="Arial"/>
                <w:noProof/>
                <w:webHidden/>
              </w:rPr>
              <w:fldChar w:fldCharType="end"/>
            </w:r>
          </w:hyperlink>
        </w:p>
        <w:p w:rsidR="00D42023" w:rsidRPr="000E7AC8" w:rsidRDefault="00CA56D3">
          <w:pPr>
            <w:pStyle w:val="Sumrio1"/>
            <w:rPr>
              <w:rFonts w:ascii="Arial" w:eastAsiaTheme="minorEastAsia" w:hAnsi="Arial" w:cs="Arial"/>
              <w:noProof/>
              <w:sz w:val="22"/>
              <w:szCs w:val="22"/>
            </w:rPr>
          </w:pPr>
          <w:hyperlink w:anchor="_Toc180138759" w:history="1">
            <w:r w:rsidR="00D42023" w:rsidRPr="000E7AC8">
              <w:rPr>
                <w:rStyle w:val="Hyperlink"/>
                <w:rFonts w:ascii="Arial" w:eastAsia="Arial" w:hAnsi="Arial" w:cs="Arial"/>
                <w:b/>
                <w:noProof/>
              </w:rPr>
              <w:t>9. REFERÊNCIAS</w:t>
            </w:r>
            <w:r w:rsidR="00D42023" w:rsidRPr="000E7AC8">
              <w:rPr>
                <w:rFonts w:ascii="Arial" w:hAnsi="Arial" w:cs="Arial"/>
                <w:noProof/>
                <w:webHidden/>
              </w:rPr>
              <w:tab/>
            </w:r>
            <w:r w:rsidR="00D42023" w:rsidRPr="000E7AC8">
              <w:rPr>
                <w:rFonts w:ascii="Arial" w:hAnsi="Arial" w:cs="Arial"/>
                <w:noProof/>
                <w:webHidden/>
              </w:rPr>
              <w:fldChar w:fldCharType="begin"/>
            </w:r>
            <w:r w:rsidR="00D42023" w:rsidRPr="000E7AC8">
              <w:rPr>
                <w:rFonts w:ascii="Arial" w:hAnsi="Arial" w:cs="Arial"/>
                <w:noProof/>
                <w:webHidden/>
              </w:rPr>
              <w:instrText xml:space="preserve"> PAGEREF _Toc180138759 \h </w:instrText>
            </w:r>
            <w:r w:rsidR="00D42023" w:rsidRPr="000E7AC8">
              <w:rPr>
                <w:rFonts w:ascii="Arial" w:hAnsi="Arial" w:cs="Arial"/>
                <w:noProof/>
                <w:webHidden/>
              </w:rPr>
            </w:r>
            <w:r w:rsidR="00D42023" w:rsidRPr="000E7AC8">
              <w:rPr>
                <w:rFonts w:ascii="Arial" w:hAnsi="Arial" w:cs="Arial"/>
                <w:noProof/>
                <w:webHidden/>
              </w:rPr>
              <w:fldChar w:fldCharType="separate"/>
            </w:r>
            <w:r w:rsidR="009247C4" w:rsidRPr="000E7AC8">
              <w:rPr>
                <w:rFonts w:ascii="Arial" w:hAnsi="Arial" w:cs="Arial"/>
                <w:noProof/>
                <w:webHidden/>
              </w:rPr>
              <w:t>53</w:t>
            </w:r>
            <w:r w:rsidR="00D42023" w:rsidRPr="000E7AC8">
              <w:rPr>
                <w:rFonts w:ascii="Arial" w:hAnsi="Arial" w:cs="Arial"/>
                <w:noProof/>
                <w:webHidden/>
              </w:rPr>
              <w:fldChar w:fldCharType="end"/>
            </w:r>
          </w:hyperlink>
        </w:p>
        <w:p w:rsidR="007A345C" w:rsidRPr="000E7AC8" w:rsidRDefault="007A345C">
          <w:pPr>
            <w:rPr>
              <w:rFonts w:ascii="Arial" w:hAnsi="Arial" w:cs="Arial"/>
            </w:rPr>
          </w:pPr>
          <w:r w:rsidRPr="000E7AC8">
            <w:rPr>
              <w:rFonts w:ascii="Arial" w:hAnsi="Arial" w:cs="Arial"/>
              <w:b/>
              <w:bCs/>
            </w:rPr>
            <w:lastRenderedPageBreak/>
            <w:fldChar w:fldCharType="end"/>
          </w:r>
        </w:p>
      </w:sdtContent>
    </w:sdt>
    <w:p w:rsidR="007A345C" w:rsidRPr="000E7AC8" w:rsidRDefault="007A345C" w:rsidP="007A345C">
      <w:pPr>
        <w:spacing w:after="200" w:line="276" w:lineRule="auto"/>
        <w:jc w:val="both"/>
        <w:rPr>
          <w:rFonts w:ascii="Arial" w:eastAsia="Arial" w:hAnsi="Arial" w:cs="Arial"/>
          <w:b/>
          <w:color w:val="38761D"/>
          <w:sz w:val="28"/>
          <w:szCs w:val="28"/>
        </w:rPr>
      </w:pPr>
      <w:r w:rsidRPr="000E7AC8">
        <w:rPr>
          <w:rFonts w:ascii="Arial" w:eastAsia="Arial" w:hAnsi="Arial" w:cs="Arial"/>
          <w:b/>
          <w:color w:val="38761D"/>
          <w:sz w:val="28"/>
          <w:szCs w:val="28"/>
        </w:rPr>
        <w:t>LISTA DE FIGURAS</w:t>
      </w:r>
    </w:p>
    <w:p w:rsidR="004433E1" w:rsidRPr="000E7AC8" w:rsidRDefault="004433E1">
      <w:pPr>
        <w:pStyle w:val="ndicedeilustraes"/>
        <w:tabs>
          <w:tab w:val="right" w:leader="dot" w:pos="9344"/>
        </w:tabs>
        <w:rPr>
          <w:rFonts w:eastAsiaTheme="minorEastAsia" w:cs="Arial"/>
          <w:noProof/>
          <w:sz w:val="22"/>
          <w:szCs w:val="22"/>
        </w:rPr>
      </w:pPr>
      <w:r w:rsidRPr="000E7AC8">
        <w:rPr>
          <w:rFonts w:eastAsia="Arial" w:cs="Arial"/>
          <w:b/>
          <w:color w:val="38761D"/>
          <w:sz w:val="28"/>
          <w:szCs w:val="28"/>
        </w:rPr>
        <w:fldChar w:fldCharType="begin"/>
      </w:r>
      <w:r w:rsidRPr="000E7AC8">
        <w:rPr>
          <w:rFonts w:eastAsia="Arial" w:cs="Arial"/>
          <w:b/>
          <w:color w:val="38761D"/>
          <w:sz w:val="28"/>
          <w:szCs w:val="28"/>
        </w:rPr>
        <w:instrText xml:space="preserve"> TOC \h \z \c "Figura" </w:instrText>
      </w:r>
      <w:r w:rsidRPr="000E7AC8">
        <w:rPr>
          <w:rFonts w:eastAsia="Arial" w:cs="Arial"/>
          <w:b/>
          <w:color w:val="38761D"/>
          <w:sz w:val="28"/>
          <w:szCs w:val="28"/>
        </w:rPr>
        <w:fldChar w:fldCharType="separate"/>
      </w:r>
      <w:hyperlink w:anchor="_Toc180139780" w:history="1">
        <w:r w:rsidRPr="000E7AC8">
          <w:rPr>
            <w:rStyle w:val="Hyperlink"/>
            <w:rFonts w:cs="Arial"/>
            <w:noProof/>
          </w:rPr>
          <w:t>Figura 1. Órgãos e Departamentos responsáveis pela Concessão Florestal no Estado do Amazonas.</w:t>
        </w:r>
        <w:r w:rsidRPr="000E7AC8">
          <w:rPr>
            <w:rFonts w:cs="Arial"/>
            <w:noProof/>
            <w:webHidden/>
          </w:rPr>
          <w:tab/>
        </w:r>
        <w:r w:rsidRPr="000E7AC8">
          <w:rPr>
            <w:rFonts w:cs="Arial"/>
            <w:noProof/>
            <w:webHidden/>
          </w:rPr>
          <w:fldChar w:fldCharType="begin"/>
        </w:r>
        <w:r w:rsidRPr="000E7AC8">
          <w:rPr>
            <w:rFonts w:cs="Arial"/>
            <w:noProof/>
            <w:webHidden/>
          </w:rPr>
          <w:instrText xml:space="preserve"> PAGEREF _Toc180139780 \h </w:instrText>
        </w:r>
        <w:r w:rsidRPr="000E7AC8">
          <w:rPr>
            <w:rFonts w:cs="Arial"/>
            <w:noProof/>
            <w:webHidden/>
          </w:rPr>
        </w:r>
        <w:r w:rsidRPr="000E7AC8">
          <w:rPr>
            <w:rFonts w:cs="Arial"/>
            <w:noProof/>
            <w:webHidden/>
          </w:rPr>
          <w:fldChar w:fldCharType="separate"/>
        </w:r>
        <w:r w:rsidR="009247C4" w:rsidRPr="000E7AC8">
          <w:rPr>
            <w:rFonts w:cs="Arial"/>
            <w:noProof/>
            <w:webHidden/>
          </w:rPr>
          <w:t>14</w:t>
        </w:r>
        <w:r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81" w:history="1">
        <w:r w:rsidR="004433E1" w:rsidRPr="000E7AC8">
          <w:rPr>
            <w:rStyle w:val="Hyperlink"/>
            <w:rFonts w:cs="Arial"/>
            <w:noProof/>
          </w:rPr>
          <w:t>Figura 2. Classificação de floresta para Concessão Florestal.</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_Toc180139781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16</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82" w:history="1">
        <w:r w:rsidR="004433E1" w:rsidRPr="000E7AC8">
          <w:rPr>
            <w:rStyle w:val="Hyperlink"/>
            <w:rFonts w:cs="Arial"/>
            <w:noProof/>
          </w:rPr>
          <w:t>Figura 3. Mapa das Unidades de Conservação Estaduais do Amazonas.</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_Toc180139782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19</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83" w:history="1">
        <w:r w:rsidR="004433E1" w:rsidRPr="000E7AC8">
          <w:rPr>
            <w:rStyle w:val="Hyperlink"/>
            <w:rFonts w:cs="Arial"/>
            <w:noProof/>
          </w:rPr>
          <w:t>Figura 4. Etapas prévias para seleção de áreas para concessão florestal.</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_Toc180139783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21</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84" w:history="1">
        <w:r w:rsidR="004433E1" w:rsidRPr="000E7AC8">
          <w:rPr>
            <w:rStyle w:val="Hyperlink"/>
            <w:rFonts w:cs="Arial"/>
            <w:noProof/>
          </w:rPr>
          <w:t>Figura 5. Classificação do zoneamento nas Florestas Estaduais passíveis de concessão florestal.</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_Toc180139784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22</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85" w:history="1">
        <w:r w:rsidR="004433E1" w:rsidRPr="000E7AC8">
          <w:rPr>
            <w:rStyle w:val="Hyperlink"/>
            <w:rFonts w:cs="Arial"/>
            <w:noProof/>
          </w:rPr>
          <w:t>Figura 6. Subzonas da zona de uso extensivo.</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_Toc180139785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23</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86" w:history="1">
        <w:r w:rsidR="004433E1" w:rsidRPr="000E7AC8">
          <w:rPr>
            <w:rStyle w:val="Hyperlink"/>
            <w:rFonts w:cs="Arial"/>
            <w:noProof/>
          </w:rPr>
          <w:t>Figura 7. Mapa de Localização das Florestas Públicas Estaduais passíveis de concessão no Amazonas.</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_Toc180139786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25</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87" w:history="1">
        <w:r w:rsidR="004433E1" w:rsidRPr="000E7AC8">
          <w:rPr>
            <w:rStyle w:val="Hyperlink"/>
            <w:rFonts w:cs="Arial"/>
            <w:noProof/>
          </w:rPr>
          <w:t>Figura 8. Mapa de Localização das Florestas Públicas Estaduais do Mosaico de Apuí.</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_Toc180139787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28</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88" w:history="1">
        <w:r w:rsidR="004433E1" w:rsidRPr="000E7AC8">
          <w:rPr>
            <w:rStyle w:val="Hyperlink"/>
            <w:rFonts w:cs="Arial"/>
            <w:noProof/>
          </w:rPr>
          <w:t>Figura 9. Mapa da área de abrangência da Floresta Estadual de Apuí.</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_Toc180139788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29</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89" w:history="1">
        <w:r w:rsidR="004433E1" w:rsidRPr="000E7AC8">
          <w:rPr>
            <w:rStyle w:val="Hyperlink"/>
            <w:rFonts w:cs="Arial"/>
            <w:noProof/>
          </w:rPr>
          <w:t>Figura 10. Atualização no zoneamento da Floresta Estadual de Apuí.</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_Toc180139789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30</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90" w:history="1">
        <w:r w:rsidR="004433E1" w:rsidRPr="000E7AC8">
          <w:rPr>
            <w:rStyle w:val="Hyperlink"/>
            <w:rFonts w:cs="Arial"/>
            <w:noProof/>
          </w:rPr>
          <w:t>Figura 11. Mapa de abrangência da Floresta Estadual de Aripuanã.</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_Toc180139790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31</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14" w:anchor="_Toc180139791" w:history="1">
        <w:r w:rsidR="004433E1" w:rsidRPr="000E7AC8">
          <w:rPr>
            <w:rStyle w:val="Hyperlink"/>
            <w:rFonts w:cs="Arial"/>
            <w:noProof/>
          </w:rPr>
          <w:t>Figura 12. Atualização no zoneamento da Floresta Estadual do Aripuanã.</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_Toc180139791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32</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92" w:history="1">
        <w:r w:rsidR="004433E1" w:rsidRPr="000E7AC8">
          <w:rPr>
            <w:rStyle w:val="Hyperlink"/>
            <w:rFonts w:cs="Arial"/>
            <w:noProof/>
          </w:rPr>
          <w:t>Figura 13. Mapa de abrangência da Floresta Estadual de Manicoré.</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_Toc180139792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33</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15" w:anchor="_Toc180139793" w:history="1">
        <w:r w:rsidR="004433E1" w:rsidRPr="000E7AC8">
          <w:rPr>
            <w:rStyle w:val="Hyperlink"/>
            <w:rFonts w:cs="Arial"/>
            <w:noProof/>
          </w:rPr>
          <w:t>Figura 14. Atualização no zoneamento da Floresta Estadual de Manicoré.</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_Toc180139793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34</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794" w:history="1">
        <w:r w:rsidR="004433E1" w:rsidRPr="000E7AC8">
          <w:rPr>
            <w:rStyle w:val="Hyperlink"/>
            <w:rFonts w:cs="Arial"/>
            <w:noProof/>
          </w:rPr>
          <w:t>Figura 15. Mapa da área de abrangência da Floresta Estadual de Sucunduri.</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_Toc180139794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35</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16" w:anchor="_Toc180139795" w:history="1">
        <w:r w:rsidR="004433E1" w:rsidRPr="000E7AC8">
          <w:rPr>
            <w:rStyle w:val="Hyperlink"/>
            <w:rFonts w:cs="Arial"/>
            <w:noProof/>
          </w:rPr>
          <w:t>Figura 16. Atualização no zoneamento da Floresta Estadual do Sucunduri.</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_Toc180139795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36</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17" w:anchor="_Toc180139796" w:history="1">
        <w:r w:rsidR="004433E1" w:rsidRPr="000E7AC8">
          <w:rPr>
            <w:rStyle w:val="Hyperlink"/>
            <w:rFonts w:cs="Arial"/>
            <w:noProof/>
          </w:rPr>
          <w:t>Figura 17. Mapa da área de abrangência da Floresta Estadual de Canutama.</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_Toc180139796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37</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18" w:anchor="_Toc180139797" w:history="1">
        <w:r w:rsidR="004433E1" w:rsidRPr="000E7AC8">
          <w:rPr>
            <w:rStyle w:val="Hyperlink"/>
            <w:rFonts w:cs="Arial"/>
            <w:noProof/>
          </w:rPr>
          <w:t>Figura 18. Atualização no zoneamento da Floresta Estadual de Canutama.</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_Toc180139797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38</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19" w:anchor="_Toc180139798" w:history="1">
        <w:r w:rsidR="004433E1" w:rsidRPr="000E7AC8">
          <w:rPr>
            <w:rStyle w:val="Hyperlink"/>
            <w:rFonts w:cs="Arial"/>
            <w:noProof/>
          </w:rPr>
          <w:t>Figura 19. Mapa da área de abrangência da Floresta Estadual de Tapauá.</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_Toc180139798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39</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20" w:anchor="_Toc180139799" w:history="1">
        <w:r w:rsidR="004433E1" w:rsidRPr="000E7AC8">
          <w:rPr>
            <w:rStyle w:val="Hyperlink"/>
            <w:rFonts w:cs="Arial"/>
            <w:noProof/>
          </w:rPr>
          <w:t>Figura 20. Atualização no zoneamento da Floresta Estadual de Tapauá.</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_Toc180139799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40</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21" w:anchor="_Toc180139800" w:history="1">
        <w:r w:rsidR="004433E1" w:rsidRPr="000E7AC8">
          <w:rPr>
            <w:rStyle w:val="Hyperlink"/>
            <w:rFonts w:cs="Arial"/>
            <w:noProof/>
          </w:rPr>
          <w:t>Figura 21. Mapa da área de abrangência da Floresta Estadual de Maués.</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_Toc180139800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42</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22" w:anchor="_Toc180139801" w:history="1">
        <w:r w:rsidR="004433E1" w:rsidRPr="000E7AC8">
          <w:rPr>
            <w:rStyle w:val="Hyperlink"/>
            <w:rFonts w:cs="Arial"/>
            <w:noProof/>
          </w:rPr>
          <w:t>Figura 22. Zoneamento da Floresta Estadual de Maués.</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_Toc180139801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44</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802" w:history="1">
        <w:r w:rsidR="004433E1" w:rsidRPr="000E7AC8">
          <w:rPr>
            <w:rStyle w:val="Hyperlink"/>
            <w:rFonts w:cs="Arial"/>
            <w:noProof/>
          </w:rPr>
          <w:t>Figura 23. Área da Unidade de Manejo Florestal na subzona de uso madeireiro comercial da Floresta Estadual de Maués.</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_Toc180139802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45</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r:id="rId23" w:anchor="_Toc180139803" w:history="1">
        <w:r w:rsidR="004433E1" w:rsidRPr="000E7AC8">
          <w:rPr>
            <w:rStyle w:val="Hyperlink"/>
            <w:rFonts w:cs="Arial"/>
            <w:noProof/>
          </w:rPr>
          <w:t>Figura 24. Mapa de abrangência da Floresta Estadual do Rio Urubu.</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_Toc180139803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46</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804" w:history="1">
        <w:r w:rsidR="004433E1" w:rsidRPr="000E7AC8">
          <w:rPr>
            <w:rStyle w:val="Hyperlink"/>
            <w:rFonts w:cs="Arial"/>
            <w:noProof/>
          </w:rPr>
          <w:t>Figura 25. Mapa da Gleba Estadual Passível para Concessão Florestal.</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_Toc180139804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48</w:t>
        </w:r>
        <w:r w:rsidR="004433E1" w:rsidRPr="000E7AC8">
          <w:rPr>
            <w:rFonts w:cs="Arial"/>
            <w:noProof/>
            <w:webHidden/>
          </w:rPr>
          <w:fldChar w:fldCharType="end"/>
        </w:r>
      </w:hyperlink>
    </w:p>
    <w:p w:rsidR="004433E1" w:rsidRPr="000E7AC8" w:rsidRDefault="00CA56D3">
      <w:pPr>
        <w:pStyle w:val="ndicedeilustraes"/>
        <w:tabs>
          <w:tab w:val="right" w:leader="dot" w:pos="9344"/>
        </w:tabs>
        <w:rPr>
          <w:rFonts w:eastAsiaTheme="minorEastAsia" w:cs="Arial"/>
          <w:noProof/>
          <w:sz w:val="22"/>
          <w:szCs w:val="22"/>
        </w:rPr>
      </w:pPr>
      <w:hyperlink w:anchor="_Toc180139805" w:history="1">
        <w:r w:rsidR="004433E1" w:rsidRPr="000E7AC8">
          <w:rPr>
            <w:rStyle w:val="Hyperlink"/>
            <w:rFonts w:cs="Arial"/>
            <w:noProof/>
          </w:rPr>
          <w:t>Figura 26. Mapa de abrangência da Gleba Estadual Mundo Novo.</w:t>
        </w:r>
        <w:r w:rsidR="004433E1" w:rsidRPr="000E7AC8">
          <w:rPr>
            <w:rFonts w:cs="Arial"/>
            <w:noProof/>
            <w:webHidden/>
          </w:rPr>
          <w:tab/>
        </w:r>
        <w:r w:rsidR="004433E1" w:rsidRPr="000E7AC8">
          <w:rPr>
            <w:rFonts w:cs="Arial"/>
            <w:noProof/>
            <w:webHidden/>
          </w:rPr>
          <w:fldChar w:fldCharType="begin"/>
        </w:r>
        <w:r w:rsidR="004433E1" w:rsidRPr="000E7AC8">
          <w:rPr>
            <w:rFonts w:cs="Arial"/>
            <w:noProof/>
            <w:webHidden/>
          </w:rPr>
          <w:instrText xml:space="preserve"> PAGEREF _Toc180139805 \h </w:instrText>
        </w:r>
        <w:r w:rsidR="004433E1" w:rsidRPr="000E7AC8">
          <w:rPr>
            <w:rFonts w:cs="Arial"/>
            <w:noProof/>
            <w:webHidden/>
          </w:rPr>
        </w:r>
        <w:r w:rsidR="004433E1" w:rsidRPr="000E7AC8">
          <w:rPr>
            <w:rFonts w:cs="Arial"/>
            <w:noProof/>
            <w:webHidden/>
          </w:rPr>
          <w:fldChar w:fldCharType="separate"/>
        </w:r>
        <w:r w:rsidR="009247C4" w:rsidRPr="000E7AC8">
          <w:rPr>
            <w:rFonts w:cs="Arial"/>
            <w:noProof/>
            <w:webHidden/>
          </w:rPr>
          <w:t>49</w:t>
        </w:r>
        <w:r w:rsidR="004433E1" w:rsidRPr="000E7AC8">
          <w:rPr>
            <w:rFonts w:cs="Arial"/>
            <w:noProof/>
            <w:webHidden/>
          </w:rPr>
          <w:fldChar w:fldCharType="end"/>
        </w:r>
      </w:hyperlink>
    </w:p>
    <w:p w:rsidR="007A345C" w:rsidRPr="000E7AC8" w:rsidRDefault="004433E1" w:rsidP="007A345C">
      <w:pPr>
        <w:spacing w:after="200" w:line="276" w:lineRule="auto"/>
        <w:jc w:val="both"/>
        <w:rPr>
          <w:rFonts w:ascii="Arial" w:eastAsia="Arial" w:hAnsi="Arial" w:cs="Arial"/>
          <w:b/>
          <w:color w:val="38761D"/>
          <w:sz w:val="28"/>
          <w:szCs w:val="28"/>
        </w:rPr>
      </w:pPr>
      <w:r w:rsidRPr="000E7AC8">
        <w:rPr>
          <w:rFonts w:ascii="Arial" w:eastAsia="Arial" w:hAnsi="Arial" w:cs="Arial"/>
          <w:b/>
          <w:color w:val="38761D"/>
          <w:sz w:val="28"/>
          <w:szCs w:val="28"/>
        </w:rPr>
        <w:fldChar w:fldCharType="end"/>
      </w:r>
    </w:p>
    <w:p w:rsidR="007A345C" w:rsidRPr="000E7AC8" w:rsidRDefault="007A345C" w:rsidP="007A345C">
      <w:pPr>
        <w:spacing w:after="200" w:line="276" w:lineRule="auto"/>
        <w:jc w:val="both"/>
        <w:rPr>
          <w:rFonts w:ascii="Arial" w:eastAsia="Arial" w:hAnsi="Arial" w:cs="Arial"/>
          <w:b/>
          <w:color w:val="38761D"/>
          <w:sz w:val="28"/>
          <w:szCs w:val="28"/>
        </w:rPr>
      </w:pPr>
    </w:p>
    <w:p w:rsidR="007A345C" w:rsidRPr="000E7AC8" w:rsidRDefault="007A345C" w:rsidP="007A345C">
      <w:pPr>
        <w:spacing w:after="200" w:line="276" w:lineRule="auto"/>
        <w:jc w:val="both"/>
        <w:rPr>
          <w:rFonts w:ascii="Arial" w:eastAsia="Arial" w:hAnsi="Arial" w:cs="Arial"/>
          <w:b/>
          <w:color w:val="38761D"/>
          <w:sz w:val="28"/>
          <w:szCs w:val="28"/>
        </w:rPr>
      </w:pPr>
    </w:p>
    <w:p w:rsidR="007A345C" w:rsidRPr="000E7AC8" w:rsidRDefault="007A345C" w:rsidP="007A345C">
      <w:pPr>
        <w:spacing w:after="200" w:line="276" w:lineRule="auto"/>
        <w:jc w:val="both"/>
        <w:rPr>
          <w:rFonts w:ascii="Arial" w:eastAsia="Arial" w:hAnsi="Arial" w:cs="Arial"/>
          <w:b/>
          <w:color w:val="38761D"/>
          <w:sz w:val="28"/>
          <w:szCs w:val="28"/>
        </w:rPr>
      </w:pPr>
    </w:p>
    <w:p w:rsidR="007A345C" w:rsidRPr="000E7AC8" w:rsidRDefault="007A345C" w:rsidP="007A345C">
      <w:pPr>
        <w:spacing w:after="200" w:line="276" w:lineRule="auto"/>
        <w:jc w:val="both"/>
        <w:rPr>
          <w:rFonts w:ascii="Arial" w:eastAsia="Arial" w:hAnsi="Arial" w:cs="Arial"/>
          <w:b/>
          <w:color w:val="38761D"/>
          <w:sz w:val="28"/>
          <w:szCs w:val="28"/>
        </w:rPr>
      </w:pPr>
    </w:p>
    <w:p w:rsidR="007A345C" w:rsidRPr="000E7AC8" w:rsidRDefault="007A345C" w:rsidP="007A345C">
      <w:pPr>
        <w:spacing w:after="200" w:line="276" w:lineRule="auto"/>
        <w:jc w:val="both"/>
        <w:rPr>
          <w:rFonts w:ascii="Arial" w:eastAsia="Arial" w:hAnsi="Arial" w:cs="Arial"/>
          <w:b/>
          <w:color w:val="38761D"/>
          <w:sz w:val="28"/>
          <w:szCs w:val="28"/>
        </w:rPr>
      </w:pPr>
    </w:p>
    <w:p w:rsidR="007A345C" w:rsidRPr="000E7AC8" w:rsidRDefault="007A345C" w:rsidP="007A345C">
      <w:pPr>
        <w:spacing w:after="200" w:line="276" w:lineRule="auto"/>
        <w:jc w:val="both"/>
        <w:rPr>
          <w:rFonts w:ascii="Arial" w:eastAsia="Arial" w:hAnsi="Arial" w:cs="Arial"/>
          <w:b/>
          <w:color w:val="38761D"/>
          <w:sz w:val="28"/>
          <w:szCs w:val="28"/>
        </w:rPr>
      </w:pPr>
    </w:p>
    <w:p w:rsidR="007A345C" w:rsidRPr="000E7AC8" w:rsidRDefault="007A345C" w:rsidP="007A345C">
      <w:pPr>
        <w:spacing w:after="200" w:line="276" w:lineRule="auto"/>
        <w:jc w:val="both"/>
        <w:rPr>
          <w:rFonts w:ascii="Arial" w:eastAsia="Arial" w:hAnsi="Arial" w:cs="Arial"/>
          <w:b/>
          <w:color w:val="38761D"/>
          <w:sz w:val="28"/>
          <w:szCs w:val="28"/>
        </w:rPr>
      </w:pPr>
      <w:r w:rsidRPr="000E7AC8">
        <w:rPr>
          <w:rFonts w:ascii="Arial" w:eastAsia="Arial" w:hAnsi="Arial" w:cs="Arial"/>
          <w:b/>
          <w:color w:val="38761D"/>
          <w:sz w:val="28"/>
          <w:szCs w:val="28"/>
        </w:rPr>
        <w:lastRenderedPageBreak/>
        <w:t>LISTA DE TABELAS</w:t>
      </w:r>
    </w:p>
    <w:p w:rsidR="007A345C" w:rsidRPr="000E7AC8" w:rsidRDefault="007A345C">
      <w:pPr>
        <w:pStyle w:val="ndicedeilustraes"/>
        <w:tabs>
          <w:tab w:val="right" w:leader="dot" w:pos="9344"/>
        </w:tabs>
        <w:rPr>
          <w:rFonts w:eastAsiaTheme="minorEastAsia" w:cs="Arial"/>
          <w:noProof/>
          <w:sz w:val="22"/>
          <w:szCs w:val="22"/>
        </w:rPr>
      </w:pPr>
      <w:r w:rsidRPr="000E7AC8">
        <w:rPr>
          <w:rFonts w:cs="Arial"/>
        </w:rPr>
        <w:fldChar w:fldCharType="begin"/>
      </w:r>
      <w:r w:rsidRPr="000E7AC8">
        <w:rPr>
          <w:rFonts w:cs="Arial"/>
        </w:rPr>
        <w:instrText xml:space="preserve"> TOC \h \z \c "Tabela" </w:instrText>
      </w:r>
      <w:r w:rsidRPr="000E7AC8">
        <w:rPr>
          <w:rFonts w:cs="Arial"/>
        </w:rPr>
        <w:fldChar w:fldCharType="separate"/>
      </w:r>
      <w:hyperlink w:anchor="_Toc180054239" w:history="1">
        <w:r w:rsidRPr="000E7AC8">
          <w:rPr>
            <w:rStyle w:val="Hyperlink"/>
            <w:rFonts w:cs="Arial"/>
            <w:noProof/>
          </w:rPr>
          <w:t>Tabela 1. Área de florestas públicas destinadas (Tipo A) e não destinadas (Tipo B) inseridas no Cadastro Nacional de Florestas Públicas até 2020 para o Estado do Amazonas (SFB, 2020).</w:t>
        </w:r>
        <w:r w:rsidRPr="000E7AC8">
          <w:rPr>
            <w:rFonts w:cs="Arial"/>
            <w:noProof/>
            <w:webHidden/>
          </w:rPr>
          <w:tab/>
        </w:r>
        <w:r w:rsidRPr="000E7AC8">
          <w:rPr>
            <w:rFonts w:cs="Arial"/>
            <w:noProof/>
            <w:webHidden/>
          </w:rPr>
          <w:fldChar w:fldCharType="begin"/>
        </w:r>
        <w:r w:rsidRPr="000E7AC8">
          <w:rPr>
            <w:rFonts w:cs="Arial"/>
            <w:noProof/>
            <w:webHidden/>
          </w:rPr>
          <w:instrText xml:space="preserve"> PAGEREF _Toc180054239 \h </w:instrText>
        </w:r>
        <w:r w:rsidRPr="000E7AC8">
          <w:rPr>
            <w:rFonts w:cs="Arial"/>
            <w:noProof/>
            <w:webHidden/>
          </w:rPr>
        </w:r>
        <w:r w:rsidRPr="000E7AC8">
          <w:rPr>
            <w:rFonts w:cs="Arial"/>
            <w:noProof/>
            <w:webHidden/>
          </w:rPr>
          <w:fldChar w:fldCharType="separate"/>
        </w:r>
        <w:r w:rsidR="009247C4" w:rsidRPr="000E7AC8">
          <w:rPr>
            <w:rFonts w:cs="Arial"/>
            <w:noProof/>
            <w:webHidden/>
          </w:rPr>
          <w:t>17</w:t>
        </w:r>
        <w:r w:rsidRPr="000E7AC8">
          <w:rPr>
            <w:rFonts w:cs="Arial"/>
            <w:noProof/>
            <w:webHidden/>
          </w:rPr>
          <w:fldChar w:fldCharType="end"/>
        </w:r>
      </w:hyperlink>
    </w:p>
    <w:p w:rsidR="007A345C" w:rsidRPr="000E7AC8" w:rsidRDefault="00CA56D3">
      <w:pPr>
        <w:pStyle w:val="ndicedeilustraes"/>
        <w:tabs>
          <w:tab w:val="right" w:leader="dot" w:pos="9344"/>
        </w:tabs>
        <w:rPr>
          <w:rFonts w:eastAsiaTheme="minorEastAsia" w:cs="Arial"/>
          <w:noProof/>
          <w:sz w:val="22"/>
          <w:szCs w:val="22"/>
        </w:rPr>
      </w:pPr>
      <w:hyperlink w:anchor="_Toc180054240" w:history="1">
        <w:r w:rsidR="007A345C" w:rsidRPr="000E7AC8">
          <w:rPr>
            <w:rStyle w:val="Hyperlink"/>
            <w:rFonts w:cs="Arial"/>
            <w:noProof/>
          </w:rPr>
          <w:t>Tabela 2. Classificação das Unidades de Conservação Estadual do Amazonas.</w:t>
        </w:r>
        <w:r w:rsidR="007A345C" w:rsidRPr="000E7AC8">
          <w:rPr>
            <w:rFonts w:cs="Arial"/>
            <w:noProof/>
            <w:webHidden/>
          </w:rPr>
          <w:tab/>
        </w:r>
        <w:r w:rsidR="007A345C" w:rsidRPr="000E7AC8">
          <w:rPr>
            <w:rFonts w:cs="Arial"/>
            <w:noProof/>
            <w:webHidden/>
          </w:rPr>
          <w:fldChar w:fldCharType="begin"/>
        </w:r>
        <w:r w:rsidR="007A345C" w:rsidRPr="000E7AC8">
          <w:rPr>
            <w:rFonts w:cs="Arial"/>
            <w:noProof/>
            <w:webHidden/>
          </w:rPr>
          <w:instrText xml:space="preserve"> PAGEREF _Toc180054240 \h </w:instrText>
        </w:r>
        <w:r w:rsidR="007A345C" w:rsidRPr="000E7AC8">
          <w:rPr>
            <w:rFonts w:cs="Arial"/>
            <w:noProof/>
            <w:webHidden/>
          </w:rPr>
        </w:r>
        <w:r w:rsidR="007A345C" w:rsidRPr="000E7AC8">
          <w:rPr>
            <w:rFonts w:cs="Arial"/>
            <w:noProof/>
            <w:webHidden/>
          </w:rPr>
          <w:fldChar w:fldCharType="separate"/>
        </w:r>
        <w:r w:rsidR="009247C4" w:rsidRPr="000E7AC8">
          <w:rPr>
            <w:rFonts w:cs="Arial"/>
            <w:noProof/>
            <w:webHidden/>
          </w:rPr>
          <w:t>18</w:t>
        </w:r>
        <w:r w:rsidR="007A345C" w:rsidRPr="000E7AC8">
          <w:rPr>
            <w:rFonts w:cs="Arial"/>
            <w:noProof/>
            <w:webHidden/>
          </w:rPr>
          <w:fldChar w:fldCharType="end"/>
        </w:r>
      </w:hyperlink>
    </w:p>
    <w:p w:rsidR="007A345C" w:rsidRPr="000E7AC8" w:rsidRDefault="00CA56D3">
      <w:pPr>
        <w:pStyle w:val="ndicedeilustraes"/>
        <w:tabs>
          <w:tab w:val="right" w:leader="dot" w:pos="9344"/>
        </w:tabs>
        <w:rPr>
          <w:rFonts w:eastAsiaTheme="minorEastAsia" w:cs="Arial"/>
          <w:noProof/>
          <w:sz w:val="22"/>
          <w:szCs w:val="22"/>
        </w:rPr>
      </w:pPr>
      <w:hyperlink w:anchor="_Toc180054241" w:history="1">
        <w:r w:rsidR="007A345C" w:rsidRPr="000E7AC8">
          <w:rPr>
            <w:rStyle w:val="Hyperlink"/>
            <w:rFonts w:cs="Arial"/>
            <w:noProof/>
          </w:rPr>
          <w:t>Tabela 3. Florestas Públicas Estaduais passíveis de concessão no Estado do Amazonas.</w:t>
        </w:r>
        <w:r w:rsidR="007A345C" w:rsidRPr="000E7AC8">
          <w:rPr>
            <w:rFonts w:cs="Arial"/>
            <w:noProof/>
            <w:webHidden/>
          </w:rPr>
          <w:tab/>
        </w:r>
        <w:r w:rsidR="007A345C" w:rsidRPr="000E7AC8">
          <w:rPr>
            <w:rFonts w:cs="Arial"/>
            <w:noProof/>
            <w:webHidden/>
          </w:rPr>
          <w:fldChar w:fldCharType="begin"/>
        </w:r>
        <w:r w:rsidR="007A345C" w:rsidRPr="000E7AC8">
          <w:rPr>
            <w:rFonts w:cs="Arial"/>
            <w:noProof/>
            <w:webHidden/>
          </w:rPr>
          <w:instrText xml:space="preserve"> PAGEREF _Toc180054241 \h </w:instrText>
        </w:r>
        <w:r w:rsidR="007A345C" w:rsidRPr="000E7AC8">
          <w:rPr>
            <w:rFonts w:cs="Arial"/>
            <w:noProof/>
            <w:webHidden/>
          </w:rPr>
        </w:r>
        <w:r w:rsidR="007A345C" w:rsidRPr="000E7AC8">
          <w:rPr>
            <w:rFonts w:cs="Arial"/>
            <w:noProof/>
            <w:webHidden/>
          </w:rPr>
          <w:fldChar w:fldCharType="separate"/>
        </w:r>
        <w:r w:rsidR="009247C4" w:rsidRPr="000E7AC8">
          <w:rPr>
            <w:rFonts w:cs="Arial"/>
            <w:noProof/>
            <w:webHidden/>
          </w:rPr>
          <w:t>26</w:t>
        </w:r>
        <w:r w:rsidR="007A345C" w:rsidRPr="000E7AC8">
          <w:rPr>
            <w:rFonts w:cs="Arial"/>
            <w:noProof/>
            <w:webHidden/>
          </w:rPr>
          <w:fldChar w:fldCharType="end"/>
        </w:r>
      </w:hyperlink>
    </w:p>
    <w:p w:rsidR="002B7C6D" w:rsidRPr="000E7AC8" w:rsidRDefault="007A345C">
      <w:pPr>
        <w:rPr>
          <w:rFonts w:ascii="Arial" w:eastAsia="Arial" w:hAnsi="Arial" w:cs="Arial"/>
          <w:b/>
          <w:color w:val="38761D"/>
          <w:sz w:val="28"/>
          <w:szCs w:val="28"/>
        </w:rPr>
      </w:pPr>
      <w:r w:rsidRPr="000E7AC8">
        <w:rPr>
          <w:rFonts w:ascii="Arial" w:hAnsi="Arial" w:cs="Arial"/>
        </w:rPr>
        <w:fldChar w:fldCharType="end"/>
      </w:r>
      <w:r w:rsidR="00E75F7D" w:rsidRPr="000E7AC8">
        <w:rPr>
          <w:rFonts w:ascii="Arial" w:hAnsi="Arial" w:cs="Arial"/>
        </w:rPr>
        <w:br w:type="page"/>
      </w:r>
    </w:p>
    <w:p w:rsidR="002B7C6D" w:rsidRPr="000E7AC8" w:rsidRDefault="00E75F7D">
      <w:pPr>
        <w:pStyle w:val="Ttulo1"/>
        <w:numPr>
          <w:ilvl w:val="0"/>
          <w:numId w:val="3"/>
        </w:numPr>
        <w:rPr>
          <w:rFonts w:ascii="Arial" w:eastAsia="Arial" w:hAnsi="Arial" w:cs="Arial"/>
          <w:b/>
          <w:color w:val="38761D"/>
          <w:sz w:val="28"/>
          <w:szCs w:val="28"/>
        </w:rPr>
      </w:pPr>
      <w:bookmarkStart w:id="2" w:name="_Toc180138733"/>
      <w:r w:rsidRPr="000E7AC8">
        <w:rPr>
          <w:rFonts w:ascii="Arial" w:eastAsia="Arial" w:hAnsi="Arial" w:cs="Arial"/>
          <w:b/>
          <w:color w:val="38761D"/>
          <w:sz w:val="28"/>
          <w:szCs w:val="28"/>
        </w:rPr>
        <w:lastRenderedPageBreak/>
        <w:t>INTRODUÇÃO</w:t>
      </w:r>
      <w:bookmarkEnd w:id="2"/>
    </w:p>
    <w:p w:rsidR="002B7C6D" w:rsidRPr="000E7AC8" w:rsidRDefault="002B7C6D">
      <w:pPr>
        <w:spacing w:line="360" w:lineRule="auto"/>
        <w:ind w:firstLine="720"/>
        <w:jc w:val="both"/>
        <w:rPr>
          <w:rFonts w:ascii="Arial" w:eastAsia="Arial" w:hAnsi="Arial" w:cs="Arial"/>
          <w:sz w:val="24"/>
          <w:szCs w:val="24"/>
        </w:rPr>
      </w:pP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A Concessão Florestal no Brasil tem como marco a aprovação e</w:t>
      </w:r>
      <w:r w:rsidR="000C18DB">
        <w:rPr>
          <w:rFonts w:ascii="Arial" w:eastAsia="Arial" w:hAnsi="Arial" w:cs="Arial"/>
          <w:sz w:val="24"/>
          <w:szCs w:val="24"/>
        </w:rPr>
        <w:t xml:space="preserve"> implementação da Lei Federal nº</w:t>
      </w:r>
      <w:r w:rsidRPr="000E7AC8">
        <w:rPr>
          <w:rFonts w:ascii="Arial" w:eastAsia="Arial" w:hAnsi="Arial" w:cs="Arial"/>
          <w:sz w:val="24"/>
          <w:szCs w:val="24"/>
        </w:rPr>
        <w:t xml:space="preserve"> 11.284/2006, que dispõe sobre a gestão de florestas públicas, bem como também implementar políticas públicas voltadas para a produção sustentável, fomentando o desenvolvimento sustentável local e regional, aliado à proteção dos ecossistemas, do solo, da água, da biodiversidade e valores culturais associados.</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No Estado do Amazonas, a Concessão Florestal é instit</w:t>
      </w:r>
      <w:r w:rsidR="000C18DB">
        <w:rPr>
          <w:rFonts w:ascii="Arial" w:eastAsia="Arial" w:hAnsi="Arial" w:cs="Arial"/>
          <w:sz w:val="24"/>
          <w:szCs w:val="24"/>
        </w:rPr>
        <w:t>uída por meio da Lei Estadual nº</w:t>
      </w:r>
      <w:r w:rsidRPr="000E7AC8">
        <w:rPr>
          <w:rFonts w:ascii="Arial" w:eastAsia="Arial" w:hAnsi="Arial" w:cs="Arial"/>
          <w:sz w:val="24"/>
          <w:szCs w:val="24"/>
        </w:rPr>
        <w:t xml:space="preserve"> 4.415, de 29 de dezembro de 2016, que tem como objetivo a gestão de florestas públicas estaduais situadas em área de domínio do Amazonas para a produção sustentável. A implementação da política pública voltada às concessões florestais estaduais compete à Secretaria de</w:t>
      </w:r>
      <w:r w:rsidR="000C18DB">
        <w:rPr>
          <w:rFonts w:ascii="Arial" w:eastAsia="Arial" w:hAnsi="Arial" w:cs="Arial"/>
          <w:sz w:val="24"/>
          <w:szCs w:val="24"/>
        </w:rPr>
        <w:t xml:space="preserve"> Estado do Meio Ambiente (Sema), </w:t>
      </w:r>
      <w:r w:rsidRPr="000E7AC8">
        <w:rPr>
          <w:rFonts w:ascii="Arial" w:eastAsia="Arial" w:hAnsi="Arial" w:cs="Arial"/>
          <w:sz w:val="24"/>
          <w:szCs w:val="24"/>
        </w:rPr>
        <w:t>em parceria com demais órgãos relacionados à política florestal do Estado do Amazonas.</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Em 2020, a Concessão Florestal no Estado do Amazonas avançou por meio da atu</w:t>
      </w:r>
      <w:r w:rsidR="000C18DB">
        <w:rPr>
          <w:rFonts w:ascii="Arial" w:eastAsia="Arial" w:hAnsi="Arial" w:cs="Arial"/>
          <w:sz w:val="24"/>
          <w:szCs w:val="24"/>
        </w:rPr>
        <w:t xml:space="preserve">alização da legislação estadual, </w:t>
      </w:r>
      <w:r w:rsidRPr="000E7AC8">
        <w:rPr>
          <w:rFonts w:ascii="Arial" w:eastAsia="Arial" w:hAnsi="Arial" w:cs="Arial"/>
          <w:sz w:val="24"/>
          <w:szCs w:val="24"/>
        </w:rPr>
        <w:t xml:space="preserve">com a revogação do §3.º, </w:t>
      </w:r>
      <w:r w:rsidR="000C18DB">
        <w:rPr>
          <w:rFonts w:ascii="Arial" w:eastAsia="Arial" w:hAnsi="Arial" w:cs="Arial"/>
          <w:sz w:val="24"/>
          <w:szCs w:val="24"/>
        </w:rPr>
        <w:t xml:space="preserve">do art. 15 da Lei nº 4.415/2016, </w:t>
      </w:r>
      <w:r w:rsidRPr="000E7AC8">
        <w:rPr>
          <w:rFonts w:ascii="Arial" w:eastAsia="Arial" w:hAnsi="Arial" w:cs="Arial"/>
          <w:sz w:val="24"/>
          <w:szCs w:val="24"/>
        </w:rPr>
        <w:t>que dispõe sobre a gestão de florestas em área de domínio do Estado para a produção sustentável, por meio da Lei nº 5.225, sancionada pelo governo do Estado em 03 de setembro de 2020. Com essa mudança, a Secretaria de Estado do Meio Ambiente passou a ser órgão competente pela aprovação do Plano de Outorga Florestal Estadual (POFE), que antes era submetido à aprovação prévia pela Assembleia Legislativa do Estado do Amazonas (Aleam), destravando assim anos de dificuldade para a regulamentação da concessão florestal no Estado.</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Além disso, o Estado do Amazonas possui um arcabouço legal sólido e consistente: a Lei de Gestão de Florestas Públicas, que estabelece e orienta regras para o acesso aos recursos florestais, produção e serviços sustentáveis, gerados pelo Manejo Florestal Sustentável, além de garantir o acesso e participação das comunidades tradicionais aos processos e seu</w:t>
      </w:r>
      <w:r w:rsidR="000E369B">
        <w:rPr>
          <w:rFonts w:ascii="Arial" w:eastAsia="Arial" w:hAnsi="Arial" w:cs="Arial"/>
          <w:sz w:val="24"/>
          <w:szCs w:val="24"/>
        </w:rPr>
        <w:t>s recursos oriundos da atividade</w:t>
      </w:r>
      <w:r w:rsidRPr="000E7AC8">
        <w:rPr>
          <w:rFonts w:ascii="Arial" w:eastAsia="Arial" w:hAnsi="Arial" w:cs="Arial"/>
          <w:sz w:val="24"/>
          <w:szCs w:val="24"/>
        </w:rPr>
        <w:t>.</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lastRenderedPageBreak/>
        <w:t>O Estado do Amazonas conta com a Lei Estadual nº 4.266/2015, que dispõe sobre Serviços Ambientais e o Sistema de Gestão de Serviços Ambientais, bem como a Lei Estadual nº 4.406/2016, que trata da Política Estadual de Regularização Ambiental, que dispõe sobre Cadastro Ambiental Rural (CAR), sendo estes o conjunto de políticas ambientais que contribuem para o desenvolvimento sustentável, econômico e social das populações tradicionais, trazendo diretrizes para o uso dos produtos da floresta.</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A concessão florestal permite que a Administração Pública Estadual autorize, por meio de ato do poder concedente, mediante contrato com pessoas jurídicas, de acordo com os termos da lei, normas pertinentes e editais de licitação, a realização de atividades de Manejo Florestal Sustentável (MFS) nas Florestas Públicas Estaduais, de modo a permitir acesso aos recursos florestais, produção e serviços sustentáveis de produtos florestais madeireiros e não madeireiros nas Unidades de Manejo Florestal (UMF).</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O Manejo Flores</w:t>
      </w:r>
      <w:r w:rsidR="000E369B">
        <w:rPr>
          <w:rFonts w:ascii="Arial" w:eastAsia="Arial" w:hAnsi="Arial" w:cs="Arial"/>
          <w:sz w:val="24"/>
          <w:szCs w:val="24"/>
        </w:rPr>
        <w:t>tal Sustentável é uma</w:t>
      </w:r>
      <w:r w:rsidRPr="000E7AC8">
        <w:rPr>
          <w:rFonts w:ascii="Arial" w:eastAsia="Arial" w:hAnsi="Arial" w:cs="Arial"/>
          <w:sz w:val="24"/>
          <w:szCs w:val="24"/>
        </w:rPr>
        <w:t xml:space="preserve"> atividade legalmente permitida para a produção florestal, definida em lei para a obtenção de benefícios econômicos, sociais e ambientais, respeitando-se os mecanismos sustentáveis, por meio da utilização de espécies madeireiras, produtos e subprodutos não madeireiros, bem como a utilização de outros bens e serviços de natureza econômica florestal. Essa prática tem como amparo legal a Lei nº 12.651/2012, o Decreto nº 5.975/2006, as Instruções Normativas do Ministério do Meio Ambiente e Mudanç</w:t>
      </w:r>
      <w:r w:rsidR="000E369B">
        <w:rPr>
          <w:rFonts w:ascii="Arial" w:eastAsia="Arial" w:hAnsi="Arial" w:cs="Arial"/>
          <w:sz w:val="24"/>
          <w:szCs w:val="24"/>
        </w:rPr>
        <w:t>as do Clima (MMA) nº 04/2006, nº</w:t>
      </w:r>
      <w:r w:rsidRPr="000E7AC8">
        <w:rPr>
          <w:rFonts w:ascii="Arial" w:eastAsia="Arial" w:hAnsi="Arial" w:cs="Arial"/>
          <w:sz w:val="24"/>
          <w:szCs w:val="24"/>
        </w:rPr>
        <w:t xml:space="preserve"> 05/2006, n</w:t>
      </w:r>
      <w:r w:rsidR="000E369B">
        <w:rPr>
          <w:rFonts w:ascii="Arial" w:eastAsia="Arial" w:hAnsi="Arial" w:cs="Arial"/>
          <w:sz w:val="24"/>
          <w:szCs w:val="24"/>
        </w:rPr>
        <w:t>º</w:t>
      </w:r>
      <w:r w:rsidRPr="000E7AC8">
        <w:rPr>
          <w:rFonts w:ascii="Arial" w:eastAsia="Arial" w:hAnsi="Arial" w:cs="Arial"/>
          <w:sz w:val="24"/>
          <w:szCs w:val="24"/>
        </w:rPr>
        <w:t xml:space="preserve"> 02/2007, a Resolução do Conselho Nacional de Meio Ambiente (Conama) nº 406/2009 e, na esfera estadual, a Resolução do Conselho Estadual de Meio Ambiente do Amazonas (Cemaam) nº 35/2022. A produção florestal a ser praticada nas áreas sob concessão tem como instrumento norteador o Plano de Manejo Florestal Sustentável (PMFS).</w:t>
      </w:r>
    </w:p>
    <w:p w:rsidR="002B7C6D" w:rsidRPr="000E7AC8" w:rsidRDefault="00E75F7D" w:rsidP="00455C35">
      <w:pPr>
        <w:spacing w:line="360" w:lineRule="auto"/>
        <w:ind w:firstLine="720"/>
        <w:jc w:val="both"/>
        <w:rPr>
          <w:rFonts w:ascii="Arial" w:eastAsia="Arial" w:hAnsi="Arial" w:cs="Arial"/>
          <w:sz w:val="24"/>
          <w:szCs w:val="24"/>
        </w:rPr>
      </w:pPr>
      <w:r w:rsidRPr="000E7AC8">
        <w:rPr>
          <w:rFonts w:ascii="Arial" w:eastAsia="Arial" w:hAnsi="Arial" w:cs="Arial"/>
          <w:sz w:val="24"/>
          <w:szCs w:val="24"/>
        </w:rPr>
        <w:t xml:space="preserve">O PMFS - que é elaborado pelo concessionário - orienta as atividades florestais em cada Unidade de Manejo Florestal. O Plano deve ser submetido para análise e aprovação do órgão competente do Sistema Nacional do Meio Ambiente (Sisnama), que no âmbito do Estado do Amazonas trata-se do Instituto de Proteção Ambiental do </w:t>
      </w:r>
      <w:r w:rsidRPr="000E7AC8">
        <w:rPr>
          <w:rFonts w:ascii="Arial" w:eastAsia="Arial" w:hAnsi="Arial" w:cs="Arial"/>
          <w:sz w:val="24"/>
          <w:szCs w:val="24"/>
        </w:rPr>
        <w:lastRenderedPageBreak/>
        <w:t>Amazonas (Ipaam).</w:t>
      </w:r>
      <w:r w:rsidR="00455C35">
        <w:rPr>
          <w:rFonts w:ascii="Arial" w:eastAsia="Arial" w:hAnsi="Arial" w:cs="Arial"/>
          <w:sz w:val="24"/>
          <w:szCs w:val="24"/>
        </w:rPr>
        <w:t xml:space="preserve"> </w:t>
      </w:r>
      <w:r w:rsidRPr="000E7AC8">
        <w:rPr>
          <w:rFonts w:ascii="Arial" w:eastAsia="Arial" w:hAnsi="Arial" w:cs="Arial"/>
          <w:sz w:val="24"/>
          <w:szCs w:val="24"/>
        </w:rPr>
        <w:t>A aprovação do PMFS, assim como a homologação da Autorização de Exploração (Autex), são requisitos indispensáveis para início das operações de manejo da UMF em questão.</w:t>
      </w:r>
    </w:p>
    <w:p w:rsidR="002B7C6D" w:rsidRPr="000E7AC8" w:rsidRDefault="00E75F7D">
      <w:pPr>
        <w:shd w:val="clear" w:color="auto" w:fill="FFFFFF"/>
        <w:spacing w:line="360" w:lineRule="auto"/>
        <w:ind w:firstLine="720"/>
        <w:jc w:val="both"/>
        <w:rPr>
          <w:rFonts w:ascii="Arial" w:eastAsia="Arial" w:hAnsi="Arial" w:cs="Arial"/>
          <w:sz w:val="24"/>
          <w:szCs w:val="24"/>
        </w:rPr>
      </w:pPr>
      <w:r w:rsidRPr="000E7AC8">
        <w:rPr>
          <w:rFonts w:ascii="Arial" w:eastAsia="Arial" w:hAnsi="Arial" w:cs="Arial"/>
          <w:sz w:val="24"/>
          <w:szCs w:val="24"/>
        </w:rPr>
        <w:t>Destaca-se que o Manejo Florestal Sustentável por meio das concessões das florestas públicas, além de oportunidade econômica, é uma estratégia para coibir as atividades ilegais, como desmatamento e queimadas não autorizadas.</w:t>
      </w:r>
    </w:p>
    <w:p w:rsidR="002B7C6D" w:rsidRPr="000E7AC8" w:rsidRDefault="002B7C6D">
      <w:pPr>
        <w:shd w:val="clear" w:color="auto" w:fill="FFFFFF"/>
        <w:spacing w:line="360" w:lineRule="auto"/>
        <w:ind w:firstLine="720"/>
        <w:jc w:val="both"/>
        <w:rPr>
          <w:rFonts w:ascii="Arial" w:hAnsi="Arial" w:cs="Arial"/>
        </w:rPr>
      </w:pPr>
    </w:p>
    <w:p w:rsidR="002B7C6D" w:rsidRPr="000E7AC8" w:rsidRDefault="00E75F7D" w:rsidP="00675F69">
      <w:pPr>
        <w:pStyle w:val="Ttulo1"/>
        <w:numPr>
          <w:ilvl w:val="0"/>
          <w:numId w:val="3"/>
        </w:numPr>
        <w:rPr>
          <w:rFonts w:ascii="Arial" w:eastAsia="Arial" w:hAnsi="Arial" w:cs="Arial"/>
          <w:b/>
          <w:color w:val="38761D"/>
          <w:sz w:val="28"/>
          <w:szCs w:val="28"/>
        </w:rPr>
      </w:pPr>
      <w:bookmarkStart w:id="3" w:name="_Toc180138734"/>
      <w:r w:rsidRPr="000E7AC8">
        <w:rPr>
          <w:rFonts w:ascii="Arial" w:eastAsia="Arial" w:hAnsi="Arial" w:cs="Arial"/>
          <w:b/>
          <w:color w:val="38761D"/>
          <w:sz w:val="28"/>
          <w:szCs w:val="28"/>
        </w:rPr>
        <w:t>PLANO DE OUTORGA FLORESTAL ESTADUAL – POFE</w:t>
      </w:r>
      <w:bookmarkEnd w:id="3"/>
    </w:p>
    <w:p w:rsidR="00675F69" w:rsidRPr="000E7AC8" w:rsidRDefault="00675F69" w:rsidP="00675F69">
      <w:pPr>
        <w:rPr>
          <w:rFonts w:ascii="Arial" w:eastAsia="Arial" w:hAnsi="Arial" w:cs="Arial"/>
        </w:rPr>
      </w:pPr>
    </w:p>
    <w:p w:rsidR="002B7C6D" w:rsidRPr="000E7AC8" w:rsidRDefault="00455C35">
      <w:pPr>
        <w:spacing w:line="360" w:lineRule="auto"/>
        <w:ind w:firstLine="720"/>
        <w:jc w:val="both"/>
        <w:rPr>
          <w:rFonts w:ascii="Arial" w:eastAsia="Arial" w:hAnsi="Arial" w:cs="Arial"/>
          <w:sz w:val="24"/>
          <w:szCs w:val="24"/>
        </w:rPr>
      </w:pPr>
      <w:r>
        <w:rPr>
          <w:rFonts w:ascii="Arial" w:eastAsia="Arial" w:hAnsi="Arial" w:cs="Arial"/>
          <w:sz w:val="24"/>
          <w:szCs w:val="24"/>
        </w:rPr>
        <w:t>O POFE, instituído pela Lei nº</w:t>
      </w:r>
      <w:r w:rsidR="00E75F7D" w:rsidRPr="000E7AC8">
        <w:rPr>
          <w:rFonts w:ascii="Arial" w:eastAsia="Arial" w:hAnsi="Arial" w:cs="Arial"/>
          <w:sz w:val="24"/>
          <w:szCs w:val="24"/>
        </w:rPr>
        <w:t xml:space="preserve"> 4.415, de 2</w:t>
      </w:r>
      <w:r>
        <w:rPr>
          <w:rFonts w:ascii="Arial" w:eastAsia="Arial" w:hAnsi="Arial" w:cs="Arial"/>
          <w:sz w:val="24"/>
          <w:szCs w:val="24"/>
        </w:rPr>
        <w:t>9 de dezembro de 2016 e a Lei nº</w:t>
      </w:r>
      <w:r w:rsidR="00E75F7D" w:rsidRPr="000E7AC8">
        <w:rPr>
          <w:rFonts w:ascii="Arial" w:eastAsia="Arial" w:hAnsi="Arial" w:cs="Arial"/>
          <w:sz w:val="24"/>
          <w:szCs w:val="24"/>
        </w:rPr>
        <w:t xml:space="preserve"> 5.225, de 03 de setembro de 2020, é um documento que contém a descrição das florestas públicas passíveis de submissão ao processo de concessão florestal. Conforme o art. 54 da Lei n</w:t>
      </w:r>
      <w:r>
        <w:rPr>
          <w:rFonts w:ascii="Arial" w:eastAsia="Arial" w:hAnsi="Arial" w:cs="Arial"/>
          <w:sz w:val="24"/>
          <w:szCs w:val="24"/>
        </w:rPr>
        <w:t>º</w:t>
      </w:r>
      <w:r w:rsidR="00E75F7D" w:rsidRPr="000E7AC8">
        <w:rPr>
          <w:rFonts w:ascii="Arial" w:eastAsia="Arial" w:hAnsi="Arial" w:cs="Arial"/>
          <w:sz w:val="24"/>
          <w:szCs w:val="24"/>
        </w:rPr>
        <w:t xml:space="preserve"> 4.415/2016, o POFE é proposto e elaborado pelo Órgão Gestor da Floresta Pública Estadual, caracterizado como poder concedente, no caso, a Secretaria de Estado do Meio Ambiente do Amazonas (Sema).</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O POFE possibilita que a sociedade conheça, com antecedência, as Florestas Públicas Estaduais passíveis de concessão no período de sua vigência, que de acordo com a Lei n°4.415/2016 Art. 15, §1° terá validade de 01 (um) ano e poderá ser adiado em sua vigência para inclusão de novas florestas públicas, permitindo ainda que potenciais interessados em concorrer em processos de concessão, possam se planejar com antecedência.</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O POFE tem como objetivo dar transparência em todos os processos da Outorga Florestal, preconizando as legislações vigentes sobre gestão de florestas públicas, bem como selecionar e descrever as Florestas Públicas Estaduais passíveis de concessão, conforme determinam os artigos 15 e 16 da Lei Estadual nº 4.415/2016, considerando a convergência e o alinhamento com outras políticas públicas da União e dos Municípios.</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Nesse sentido, o POFE considerará:</w:t>
      </w:r>
    </w:p>
    <w:p w:rsidR="002B7C6D" w:rsidRPr="000E7AC8" w:rsidRDefault="00E75F7D">
      <w:pPr>
        <w:numPr>
          <w:ilvl w:val="0"/>
          <w:numId w:val="7"/>
        </w:numPr>
        <w:pBdr>
          <w:top w:val="nil"/>
          <w:left w:val="nil"/>
          <w:bottom w:val="nil"/>
          <w:right w:val="nil"/>
          <w:between w:val="nil"/>
        </w:pBdr>
        <w:spacing w:line="360" w:lineRule="auto"/>
        <w:jc w:val="both"/>
        <w:rPr>
          <w:rFonts w:ascii="Arial" w:eastAsia="Arial" w:hAnsi="Arial" w:cs="Arial"/>
          <w:color w:val="000000"/>
          <w:sz w:val="24"/>
          <w:szCs w:val="24"/>
        </w:rPr>
      </w:pPr>
      <w:r w:rsidRPr="000E7AC8">
        <w:rPr>
          <w:rFonts w:ascii="Arial" w:eastAsia="Arial" w:hAnsi="Arial" w:cs="Arial"/>
          <w:color w:val="000000"/>
          <w:sz w:val="24"/>
          <w:szCs w:val="24"/>
        </w:rPr>
        <w:lastRenderedPageBreak/>
        <w:t>As políticas ambientais, o planejamento para o setor florestal, a reforma agrária, a regularização fundiária, a agricultura, os recursos hídricos, o ordenamento territorial e ambiental e o desenvolvimento regional;</w:t>
      </w:r>
    </w:p>
    <w:p w:rsidR="002B7C6D" w:rsidRPr="000E7AC8" w:rsidRDefault="00E75F7D">
      <w:pPr>
        <w:numPr>
          <w:ilvl w:val="0"/>
          <w:numId w:val="7"/>
        </w:numPr>
        <w:pBdr>
          <w:top w:val="nil"/>
          <w:left w:val="nil"/>
          <w:bottom w:val="nil"/>
          <w:right w:val="nil"/>
          <w:between w:val="nil"/>
        </w:pBdr>
        <w:spacing w:line="360" w:lineRule="auto"/>
        <w:jc w:val="both"/>
        <w:rPr>
          <w:rFonts w:ascii="Arial" w:eastAsia="Arial" w:hAnsi="Arial" w:cs="Arial"/>
          <w:color w:val="000000"/>
          <w:sz w:val="24"/>
          <w:szCs w:val="24"/>
        </w:rPr>
      </w:pPr>
      <w:r w:rsidRPr="000E7AC8">
        <w:rPr>
          <w:rFonts w:ascii="Arial" w:eastAsia="Arial" w:hAnsi="Arial" w:cs="Arial"/>
          <w:color w:val="000000"/>
          <w:sz w:val="24"/>
          <w:szCs w:val="24"/>
        </w:rPr>
        <w:t>Os Zoneamentos Ecológico-Econômico (ZEE) nacional e estadual e demais instrumentos que disciplinam o uso, a ocupação e a exploração dos recursos ambientais;</w:t>
      </w:r>
    </w:p>
    <w:p w:rsidR="002B7C6D" w:rsidRPr="000E7AC8" w:rsidRDefault="00074475">
      <w:pPr>
        <w:numPr>
          <w:ilvl w:val="0"/>
          <w:numId w:val="7"/>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A exclusão das Unidades de C</w:t>
      </w:r>
      <w:r w:rsidR="00E75F7D" w:rsidRPr="000E7AC8">
        <w:rPr>
          <w:rFonts w:ascii="Arial" w:eastAsia="Arial" w:hAnsi="Arial" w:cs="Arial"/>
          <w:color w:val="000000"/>
          <w:sz w:val="24"/>
          <w:szCs w:val="24"/>
        </w:rPr>
        <w:t xml:space="preserve">onservação </w:t>
      </w:r>
      <w:r>
        <w:rPr>
          <w:rFonts w:ascii="Arial" w:eastAsia="Arial" w:hAnsi="Arial" w:cs="Arial"/>
          <w:color w:val="000000"/>
          <w:sz w:val="24"/>
          <w:szCs w:val="24"/>
        </w:rPr>
        <w:t>(UC) de proteção integral, das Reservas de Desenvolvimento S</w:t>
      </w:r>
      <w:r w:rsidR="00E75F7D" w:rsidRPr="000E7AC8">
        <w:rPr>
          <w:rFonts w:ascii="Arial" w:eastAsia="Arial" w:hAnsi="Arial" w:cs="Arial"/>
          <w:color w:val="000000"/>
          <w:sz w:val="24"/>
          <w:szCs w:val="24"/>
        </w:rPr>
        <w:t>ustentável</w:t>
      </w:r>
      <w:r>
        <w:rPr>
          <w:rFonts w:ascii="Arial" w:eastAsia="Arial" w:hAnsi="Arial" w:cs="Arial"/>
          <w:color w:val="000000"/>
          <w:sz w:val="24"/>
          <w:szCs w:val="24"/>
        </w:rPr>
        <w:t xml:space="preserve"> (RDS), das Reservas E</w:t>
      </w:r>
      <w:r w:rsidR="00E75F7D" w:rsidRPr="000E7AC8">
        <w:rPr>
          <w:rFonts w:ascii="Arial" w:eastAsia="Arial" w:hAnsi="Arial" w:cs="Arial"/>
          <w:color w:val="000000"/>
          <w:sz w:val="24"/>
          <w:szCs w:val="24"/>
        </w:rPr>
        <w:t>xtrativistas</w:t>
      </w:r>
      <w:r>
        <w:rPr>
          <w:rFonts w:ascii="Arial" w:eastAsia="Arial" w:hAnsi="Arial" w:cs="Arial"/>
          <w:color w:val="000000"/>
          <w:sz w:val="24"/>
          <w:szCs w:val="24"/>
        </w:rPr>
        <w:t xml:space="preserve"> (Resex)</w:t>
      </w:r>
      <w:r w:rsidR="00E75F7D" w:rsidRPr="000E7AC8">
        <w:rPr>
          <w:rFonts w:ascii="Arial" w:eastAsia="Arial" w:hAnsi="Arial" w:cs="Arial"/>
          <w:color w:val="000000"/>
          <w:sz w:val="24"/>
          <w:szCs w:val="24"/>
        </w:rPr>
        <w:t>, das reservas de fauna e das áreas de relevante interesse ecológico, salvo quanto às atividades expressamente a</w:t>
      </w:r>
      <w:r>
        <w:rPr>
          <w:rFonts w:ascii="Arial" w:eastAsia="Arial" w:hAnsi="Arial" w:cs="Arial"/>
          <w:color w:val="000000"/>
          <w:sz w:val="24"/>
          <w:szCs w:val="24"/>
        </w:rPr>
        <w:t>dmitidas no Plano de Gestão da Unidade de C</w:t>
      </w:r>
      <w:r w:rsidR="00E75F7D" w:rsidRPr="000E7AC8">
        <w:rPr>
          <w:rFonts w:ascii="Arial" w:eastAsia="Arial" w:hAnsi="Arial" w:cs="Arial"/>
          <w:color w:val="000000"/>
          <w:sz w:val="24"/>
          <w:szCs w:val="24"/>
        </w:rPr>
        <w:t>onservação;</w:t>
      </w:r>
    </w:p>
    <w:p w:rsidR="002B7C6D" w:rsidRPr="000E7AC8" w:rsidRDefault="00E75F7D">
      <w:pPr>
        <w:numPr>
          <w:ilvl w:val="0"/>
          <w:numId w:val="7"/>
        </w:numPr>
        <w:pBdr>
          <w:top w:val="nil"/>
          <w:left w:val="nil"/>
          <w:bottom w:val="nil"/>
          <w:right w:val="nil"/>
          <w:between w:val="nil"/>
        </w:pBdr>
        <w:spacing w:line="360" w:lineRule="auto"/>
        <w:jc w:val="both"/>
        <w:rPr>
          <w:rFonts w:ascii="Arial" w:eastAsia="Arial" w:hAnsi="Arial" w:cs="Arial"/>
          <w:color w:val="000000"/>
          <w:sz w:val="24"/>
          <w:szCs w:val="24"/>
        </w:rPr>
      </w:pPr>
      <w:r w:rsidRPr="000E7AC8">
        <w:rPr>
          <w:rFonts w:ascii="Arial" w:eastAsia="Arial" w:hAnsi="Arial" w:cs="Arial"/>
          <w:color w:val="000000"/>
          <w:sz w:val="24"/>
          <w:szCs w:val="24"/>
        </w:rPr>
        <w:t xml:space="preserve">A exclusão das terras indígenas, das áreas ocupadas por comunidades locais e das áreas </w:t>
      </w:r>
      <w:r w:rsidR="00A86193">
        <w:rPr>
          <w:rFonts w:ascii="Arial" w:eastAsia="Arial" w:hAnsi="Arial" w:cs="Arial"/>
          <w:color w:val="000000"/>
          <w:sz w:val="24"/>
          <w:szCs w:val="24"/>
        </w:rPr>
        <w:t>de interesse para a criação de Unidades de C</w:t>
      </w:r>
      <w:r w:rsidRPr="000E7AC8">
        <w:rPr>
          <w:rFonts w:ascii="Arial" w:eastAsia="Arial" w:hAnsi="Arial" w:cs="Arial"/>
          <w:color w:val="000000"/>
          <w:sz w:val="24"/>
          <w:szCs w:val="24"/>
        </w:rPr>
        <w:t>onservação de proteção integral e as áreas públicas estaduais, destinadas a assentamentos florestais;</w:t>
      </w:r>
    </w:p>
    <w:p w:rsidR="002B7C6D" w:rsidRPr="000E7AC8" w:rsidRDefault="00E75F7D">
      <w:pPr>
        <w:numPr>
          <w:ilvl w:val="0"/>
          <w:numId w:val="7"/>
        </w:numPr>
        <w:pBdr>
          <w:top w:val="nil"/>
          <w:left w:val="nil"/>
          <w:bottom w:val="nil"/>
          <w:right w:val="nil"/>
          <w:between w:val="nil"/>
        </w:pBdr>
        <w:spacing w:line="360" w:lineRule="auto"/>
        <w:jc w:val="both"/>
        <w:rPr>
          <w:rFonts w:ascii="Arial" w:eastAsia="Arial" w:hAnsi="Arial" w:cs="Arial"/>
          <w:color w:val="000000"/>
          <w:sz w:val="24"/>
          <w:szCs w:val="24"/>
        </w:rPr>
      </w:pPr>
      <w:r w:rsidRPr="000E7AC8">
        <w:rPr>
          <w:rFonts w:ascii="Arial" w:eastAsia="Arial" w:hAnsi="Arial" w:cs="Arial"/>
          <w:color w:val="000000"/>
          <w:sz w:val="24"/>
          <w:szCs w:val="24"/>
        </w:rPr>
        <w:t>A existência de áreas de convergência com as concessões de outros setores;</w:t>
      </w:r>
    </w:p>
    <w:p w:rsidR="002B7C6D" w:rsidRPr="000E7AC8" w:rsidRDefault="00E75F7D">
      <w:pPr>
        <w:numPr>
          <w:ilvl w:val="0"/>
          <w:numId w:val="7"/>
        </w:numPr>
        <w:pBdr>
          <w:top w:val="nil"/>
          <w:left w:val="nil"/>
          <w:bottom w:val="nil"/>
          <w:right w:val="nil"/>
          <w:between w:val="nil"/>
        </w:pBdr>
        <w:spacing w:line="360" w:lineRule="auto"/>
        <w:jc w:val="both"/>
        <w:rPr>
          <w:rFonts w:ascii="Arial" w:eastAsia="Arial" w:hAnsi="Arial" w:cs="Arial"/>
          <w:color w:val="000000"/>
          <w:sz w:val="24"/>
          <w:szCs w:val="24"/>
        </w:rPr>
      </w:pPr>
      <w:r w:rsidRPr="000E7AC8">
        <w:rPr>
          <w:rFonts w:ascii="Arial" w:eastAsia="Arial" w:hAnsi="Arial" w:cs="Arial"/>
          <w:color w:val="000000"/>
          <w:sz w:val="24"/>
          <w:szCs w:val="24"/>
        </w:rPr>
        <w:t>As normas e as diretrizes governamentais relativas à faixa de fronteira e outras áreas consideradas indispensáveis para a defesa do território nacional</w:t>
      </w:r>
      <w:r w:rsidRPr="000E7AC8">
        <w:rPr>
          <w:rFonts w:ascii="Arial" w:eastAsia="Arial" w:hAnsi="Arial" w:cs="Arial"/>
          <w:sz w:val="24"/>
          <w:szCs w:val="24"/>
        </w:rPr>
        <w:t>.</w:t>
      </w:r>
    </w:p>
    <w:p w:rsidR="00222F5E" w:rsidRPr="000E7AC8" w:rsidRDefault="00222F5E" w:rsidP="00222F5E">
      <w:pPr>
        <w:pBdr>
          <w:top w:val="nil"/>
          <w:left w:val="nil"/>
          <w:bottom w:val="nil"/>
          <w:right w:val="nil"/>
          <w:between w:val="nil"/>
        </w:pBdr>
        <w:spacing w:line="360" w:lineRule="auto"/>
        <w:ind w:left="1069"/>
        <w:jc w:val="both"/>
        <w:rPr>
          <w:rFonts w:ascii="Arial" w:eastAsia="Arial" w:hAnsi="Arial" w:cs="Arial"/>
          <w:color w:val="000000"/>
          <w:sz w:val="24"/>
          <w:szCs w:val="24"/>
        </w:rPr>
      </w:pPr>
    </w:p>
    <w:p w:rsidR="002B7C6D" w:rsidRPr="000E7AC8" w:rsidRDefault="00E75F7D">
      <w:pPr>
        <w:pStyle w:val="Ttulo1"/>
        <w:numPr>
          <w:ilvl w:val="0"/>
          <w:numId w:val="3"/>
        </w:numPr>
        <w:rPr>
          <w:rFonts w:ascii="Arial" w:eastAsia="Arial" w:hAnsi="Arial" w:cs="Arial"/>
          <w:b/>
          <w:color w:val="38761D"/>
          <w:sz w:val="28"/>
          <w:szCs w:val="28"/>
        </w:rPr>
      </w:pPr>
      <w:bookmarkStart w:id="4" w:name="_Toc180138735"/>
      <w:r w:rsidRPr="000E7AC8">
        <w:rPr>
          <w:rFonts w:ascii="Arial" w:eastAsia="Arial" w:hAnsi="Arial" w:cs="Arial"/>
          <w:b/>
          <w:color w:val="38761D"/>
          <w:sz w:val="28"/>
          <w:szCs w:val="28"/>
        </w:rPr>
        <w:t>GESTÃO DAS FLORESTAS PÚBLICAS ESTADUAIS</w:t>
      </w:r>
      <w:bookmarkEnd w:id="4"/>
      <w:r w:rsidRPr="000E7AC8">
        <w:rPr>
          <w:rFonts w:ascii="Arial" w:eastAsia="Arial" w:hAnsi="Arial" w:cs="Arial"/>
          <w:b/>
          <w:color w:val="38761D"/>
          <w:sz w:val="28"/>
          <w:szCs w:val="28"/>
        </w:rPr>
        <w:t xml:space="preserve"> </w:t>
      </w:r>
    </w:p>
    <w:p w:rsidR="002B7C6D" w:rsidRPr="000E7AC8" w:rsidRDefault="002B7C6D">
      <w:pPr>
        <w:ind w:left="360"/>
        <w:rPr>
          <w:rFonts w:ascii="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No ano de 2022, a Sema passou a ser o órgão gestor da concessão, seguindo a alteração do art. 61, feito pela Lei n° 6.104/2022, a competência poderá ser delegada por decreto do Governador do Estado, à entidade da administração pública indireta que tenha a concessão como um de seus objetivos estatutários.</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Caberá ao órgão gestor da concessão:</w:t>
      </w:r>
    </w:p>
    <w:p w:rsidR="002B7C6D" w:rsidRPr="000E7AC8" w:rsidRDefault="00E75F7D">
      <w:pPr>
        <w:numPr>
          <w:ilvl w:val="0"/>
          <w:numId w:val="2"/>
        </w:numPr>
        <w:spacing w:line="360" w:lineRule="auto"/>
        <w:ind w:left="992" w:hanging="283"/>
        <w:jc w:val="both"/>
        <w:rPr>
          <w:rFonts w:ascii="Arial" w:eastAsia="Arial" w:hAnsi="Arial" w:cs="Arial"/>
          <w:sz w:val="24"/>
          <w:szCs w:val="24"/>
        </w:rPr>
      </w:pPr>
      <w:r w:rsidRPr="000E7AC8">
        <w:rPr>
          <w:rFonts w:ascii="Arial" w:eastAsia="Arial" w:hAnsi="Arial" w:cs="Arial"/>
          <w:sz w:val="24"/>
          <w:szCs w:val="24"/>
        </w:rPr>
        <w:t>Estabelecer os termos de licitação e os critérios de seleção;</w:t>
      </w:r>
    </w:p>
    <w:p w:rsidR="002B7C6D" w:rsidRPr="000E7AC8" w:rsidRDefault="00E75F7D">
      <w:pPr>
        <w:numPr>
          <w:ilvl w:val="0"/>
          <w:numId w:val="2"/>
        </w:numPr>
        <w:spacing w:line="360" w:lineRule="auto"/>
        <w:ind w:left="992" w:hanging="283"/>
        <w:jc w:val="both"/>
        <w:rPr>
          <w:rFonts w:ascii="Arial" w:eastAsia="Arial" w:hAnsi="Arial" w:cs="Arial"/>
          <w:sz w:val="24"/>
          <w:szCs w:val="24"/>
        </w:rPr>
      </w:pPr>
      <w:r w:rsidRPr="000E7AC8">
        <w:rPr>
          <w:rFonts w:ascii="Arial" w:eastAsia="Arial" w:hAnsi="Arial" w:cs="Arial"/>
          <w:sz w:val="24"/>
          <w:szCs w:val="24"/>
        </w:rPr>
        <w:lastRenderedPageBreak/>
        <w:t>Publicar editais e pré-editais, julgar licitações, promover os demais procedimentos licitatórios, definir os critérios para formalização e celebração dos contratos de concessão florestal;</w:t>
      </w:r>
    </w:p>
    <w:p w:rsidR="002B7C6D" w:rsidRPr="000E7AC8" w:rsidRDefault="00E75F7D">
      <w:pPr>
        <w:numPr>
          <w:ilvl w:val="0"/>
          <w:numId w:val="2"/>
        </w:numPr>
        <w:spacing w:line="360" w:lineRule="auto"/>
        <w:ind w:left="992" w:hanging="283"/>
        <w:jc w:val="both"/>
        <w:rPr>
          <w:rFonts w:ascii="Arial" w:eastAsia="Arial" w:hAnsi="Arial" w:cs="Arial"/>
          <w:sz w:val="24"/>
          <w:szCs w:val="24"/>
        </w:rPr>
      </w:pPr>
      <w:r w:rsidRPr="000E7AC8">
        <w:rPr>
          <w:rFonts w:ascii="Arial" w:eastAsia="Arial" w:hAnsi="Arial" w:cs="Arial"/>
          <w:sz w:val="24"/>
          <w:szCs w:val="24"/>
        </w:rPr>
        <w:t>Realizar as audiências e consultas públicas para a concessão florestal;</w:t>
      </w:r>
    </w:p>
    <w:p w:rsidR="002B7C6D" w:rsidRPr="000E7AC8" w:rsidRDefault="00E75F7D">
      <w:pPr>
        <w:numPr>
          <w:ilvl w:val="0"/>
          <w:numId w:val="2"/>
        </w:numPr>
        <w:spacing w:line="360" w:lineRule="auto"/>
        <w:ind w:left="992" w:hanging="283"/>
        <w:jc w:val="both"/>
        <w:rPr>
          <w:rFonts w:ascii="Arial" w:eastAsia="Arial" w:hAnsi="Arial" w:cs="Arial"/>
          <w:sz w:val="24"/>
          <w:szCs w:val="24"/>
        </w:rPr>
      </w:pPr>
      <w:r w:rsidRPr="000E7AC8">
        <w:rPr>
          <w:rFonts w:ascii="Arial" w:eastAsia="Arial" w:hAnsi="Arial" w:cs="Arial"/>
          <w:sz w:val="24"/>
          <w:szCs w:val="24"/>
        </w:rPr>
        <w:t>Definir os critérios para formalização dos contratos e celebrá-los com concessionários;</w:t>
      </w:r>
    </w:p>
    <w:p w:rsidR="002B7C6D" w:rsidRPr="000E7AC8" w:rsidRDefault="00E75F7D">
      <w:pPr>
        <w:numPr>
          <w:ilvl w:val="0"/>
          <w:numId w:val="2"/>
        </w:numPr>
        <w:spacing w:line="360" w:lineRule="auto"/>
        <w:ind w:left="992" w:hanging="283"/>
        <w:jc w:val="both"/>
        <w:rPr>
          <w:rFonts w:ascii="Arial" w:eastAsia="Arial" w:hAnsi="Arial" w:cs="Arial"/>
          <w:sz w:val="24"/>
          <w:szCs w:val="24"/>
        </w:rPr>
      </w:pPr>
      <w:r w:rsidRPr="000E7AC8">
        <w:rPr>
          <w:rFonts w:ascii="Arial" w:eastAsia="Arial" w:hAnsi="Arial" w:cs="Arial"/>
          <w:sz w:val="24"/>
          <w:szCs w:val="24"/>
        </w:rPr>
        <w:t>Elaborar, gerir e fiscalizar os contratos de concessão florestal, inclusive as suas garantias fiduciárias contratuais;</w:t>
      </w:r>
    </w:p>
    <w:p w:rsidR="002B7C6D" w:rsidRPr="000E7AC8" w:rsidRDefault="00E75F7D">
      <w:pPr>
        <w:numPr>
          <w:ilvl w:val="0"/>
          <w:numId w:val="2"/>
        </w:numPr>
        <w:spacing w:line="360" w:lineRule="auto"/>
        <w:ind w:left="992" w:hanging="283"/>
        <w:jc w:val="both"/>
        <w:rPr>
          <w:rFonts w:ascii="Arial" w:eastAsia="Arial" w:hAnsi="Arial" w:cs="Arial"/>
          <w:sz w:val="24"/>
          <w:szCs w:val="24"/>
        </w:rPr>
      </w:pPr>
      <w:r w:rsidRPr="000E7AC8">
        <w:rPr>
          <w:rFonts w:ascii="Arial" w:eastAsia="Arial" w:hAnsi="Arial" w:cs="Arial"/>
          <w:sz w:val="24"/>
          <w:szCs w:val="24"/>
        </w:rPr>
        <w:t>Fixar os critérios para cálculo dos preços e reajustes, assim como proceder a sua revisão na forma da lei;</w:t>
      </w:r>
    </w:p>
    <w:p w:rsidR="002B7C6D" w:rsidRPr="000E7AC8" w:rsidRDefault="00E75F7D">
      <w:pPr>
        <w:numPr>
          <w:ilvl w:val="0"/>
          <w:numId w:val="2"/>
        </w:numPr>
        <w:spacing w:line="360" w:lineRule="auto"/>
        <w:ind w:left="992" w:hanging="283"/>
        <w:jc w:val="both"/>
        <w:rPr>
          <w:rFonts w:ascii="Arial" w:eastAsia="Arial" w:hAnsi="Arial" w:cs="Arial"/>
          <w:sz w:val="24"/>
          <w:szCs w:val="24"/>
        </w:rPr>
      </w:pPr>
      <w:r w:rsidRPr="000E7AC8">
        <w:rPr>
          <w:rFonts w:ascii="Arial" w:eastAsia="Arial" w:hAnsi="Arial" w:cs="Arial"/>
          <w:sz w:val="24"/>
          <w:szCs w:val="24"/>
        </w:rPr>
        <w:t>Realizar estudos de preços dos produtos e serviços objetos da concessão florestal;</w:t>
      </w:r>
    </w:p>
    <w:p w:rsidR="002B7C6D" w:rsidRPr="000E7AC8" w:rsidRDefault="00E75F7D">
      <w:pPr>
        <w:numPr>
          <w:ilvl w:val="0"/>
          <w:numId w:val="2"/>
        </w:numPr>
        <w:pBdr>
          <w:top w:val="nil"/>
          <w:left w:val="nil"/>
          <w:bottom w:val="nil"/>
          <w:right w:val="nil"/>
          <w:between w:val="nil"/>
        </w:pBdr>
        <w:spacing w:line="360" w:lineRule="auto"/>
        <w:ind w:left="992" w:hanging="283"/>
        <w:jc w:val="both"/>
        <w:rPr>
          <w:rFonts w:ascii="Arial" w:eastAsia="Arial" w:hAnsi="Arial" w:cs="Arial"/>
          <w:sz w:val="24"/>
          <w:szCs w:val="24"/>
        </w:rPr>
      </w:pPr>
      <w:r w:rsidRPr="000E7AC8">
        <w:rPr>
          <w:rFonts w:ascii="Arial" w:eastAsia="Arial" w:hAnsi="Arial" w:cs="Arial"/>
          <w:sz w:val="24"/>
          <w:szCs w:val="24"/>
        </w:rPr>
        <w:t>Conhecer e julgar os recursos em procedimentos administrativos;</w:t>
      </w:r>
    </w:p>
    <w:p w:rsidR="002B7C6D" w:rsidRPr="000E7AC8" w:rsidRDefault="00E75F7D">
      <w:pPr>
        <w:numPr>
          <w:ilvl w:val="0"/>
          <w:numId w:val="2"/>
        </w:numPr>
        <w:pBdr>
          <w:top w:val="nil"/>
          <w:left w:val="nil"/>
          <w:bottom w:val="nil"/>
          <w:right w:val="nil"/>
          <w:between w:val="nil"/>
        </w:pBdr>
        <w:spacing w:line="360" w:lineRule="auto"/>
        <w:ind w:left="992" w:hanging="283"/>
        <w:jc w:val="both"/>
        <w:rPr>
          <w:rFonts w:ascii="Arial" w:eastAsia="Arial" w:hAnsi="Arial" w:cs="Arial"/>
          <w:sz w:val="24"/>
          <w:szCs w:val="24"/>
        </w:rPr>
      </w:pPr>
      <w:r w:rsidRPr="000E7AC8">
        <w:rPr>
          <w:rFonts w:ascii="Arial" w:eastAsia="Arial" w:hAnsi="Arial" w:cs="Arial"/>
          <w:sz w:val="24"/>
          <w:szCs w:val="24"/>
        </w:rPr>
        <w:t>Monitorar os processos administrativos contratuais da exploração de produtos e serviços florestais;</w:t>
      </w:r>
    </w:p>
    <w:p w:rsidR="002B7C6D" w:rsidRPr="000E7AC8" w:rsidRDefault="00E75F7D">
      <w:pPr>
        <w:numPr>
          <w:ilvl w:val="0"/>
          <w:numId w:val="2"/>
        </w:numPr>
        <w:pBdr>
          <w:top w:val="nil"/>
          <w:left w:val="nil"/>
          <w:bottom w:val="nil"/>
          <w:right w:val="nil"/>
          <w:between w:val="nil"/>
        </w:pBdr>
        <w:spacing w:line="360" w:lineRule="auto"/>
        <w:ind w:left="992" w:hanging="283"/>
        <w:jc w:val="both"/>
        <w:rPr>
          <w:rFonts w:ascii="Arial" w:eastAsia="Arial" w:hAnsi="Arial" w:cs="Arial"/>
          <w:sz w:val="24"/>
          <w:szCs w:val="24"/>
        </w:rPr>
      </w:pPr>
      <w:r w:rsidRPr="000E7AC8">
        <w:rPr>
          <w:rFonts w:ascii="Arial" w:eastAsia="Arial" w:hAnsi="Arial" w:cs="Arial"/>
          <w:sz w:val="24"/>
          <w:szCs w:val="24"/>
        </w:rPr>
        <w:t>Dispor sobre a realização das Auditorias Florestais Independentes, conhecer seus resultados e adotar as medidas cabíveis.</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Como órgão consultivo a ser ouvido pelo poder concedente, a Comissão Estadual de Gestão de Florestas Públicas do Amazonas (CEGFLOP-AM), sem prejuízo das atribuições do Conselho Estadual de Meio Ambiente (</w:t>
      </w:r>
      <w:r w:rsidR="00D720F5">
        <w:rPr>
          <w:rFonts w:ascii="Arial" w:eastAsia="Arial" w:hAnsi="Arial" w:cs="Arial"/>
          <w:sz w:val="24"/>
          <w:szCs w:val="24"/>
        </w:rPr>
        <w:t>Cemaam</w:t>
      </w:r>
      <w:r w:rsidRPr="000E7AC8">
        <w:rPr>
          <w:rFonts w:ascii="Arial" w:eastAsia="Arial" w:hAnsi="Arial" w:cs="Arial"/>
          <w:sz w:val="24"/>
          <w:szCs w:val="24"/>
        </w:rPr>
        <w:t>), fica instituída no âmbito da Sema, de natureza consultiva, com as funções de exercer, as atribuições previstas no Art. 58:</w:t>
      </w:r>
    </w:p>
    <w:p w:rsidR="002B7C6D" w:rsidRPr="000E7AC8" w:rsidRDefault="00E75F7D">
      <w:pPr>
        <w:numPr>
          <w:ilvl w:val="0"/>
          <w:numId w:val="8"/>
        </w:numPr>
        <w:spacing w:line="360" w:lineRule="auto"/>
        <w:ind w:left="993" w:hanging="283"/>
        <w:jc w:val="both"/>
        <w:rPr>
          <w:rFonts w:ascii="Arial" w:eastAsia="Arial" w:hAnsi="Arial" w:cs="Arial"/>
          <w:sz w:val="24"/>
          <w:szCs w:val="24"/>
        </w:rPr>
      </w:pPr>
      <w:r w:rsidRPr="000E7AC8">
        <w:rPr>
          <w:rFonts w:ascii="Arial" w:eastAsia="Arial" w:hAnsi="Arial" w:cs="Arial"/>
          <w:sz w:val="24"/>
          <w:szCs w:val="24"/>
        </w:rPr>
        <w:t xml:space="preserve">Assessorar, avaliar e propor diretrizes para gestão de Florestas Públicas do Estado do Amazonas; </w:t>
      </w:r>
    </w:p>
    <w:p w:rsidR="002B7C6D" w:rsidRPr="000E7AC8" w:rsidRDefault="00E75F7D">
      <w:pPr>
        <w:numPr>
          <w:ilvl w:val="0"/>
          <w:numId w:val="8"/>
        </w:numPr>
        <w:spacing w:line="360" w:lineRule="auto"/>
        <w:ind w:left="993" w:hanging="283"/>
        <w:jc w:val="both"/>
        <w:rPr>
          <w:rFonts w:ascii="Arial" w:eastAsia="Arial" w:hAnsi="Arial" w:cs="Arial"/>
          <w:sz w:val="24"/>
          <w:szCs w:val="24"/>
        </w:rPr>
      </w:pPr>
      <w:r w:rsidRPr="000E7AC8">
        <w:rPr>
          <w:rFonts w:ascii="Arial" w:eastAsia="Arial" w:hAnsi="Arial" w:cs="Arial"/>
          <w:sz w:val="24"/>
          <w:szCs w:val="24"/>
        </w:rPr>
        <w:t>Manifestar-se sobre o POFE;</w:t>
      </w:r>
    </w:p>
    <w:p w:rsidR="002B7C6D" w:rsidRPr="000E7AC8" w:rsidRDefault="00E75F7D">
      <w:pPr>
        <w:numPr>
          <w:ilvl w:val="0"/>
          <w:numId w:val="8"/>
        </w:numPr>
        <w:spacing w:line="360" w:lineRule="auto"/>
        <w:ind w:left="993" w:hanging="283"/>
        <w:jc w:val="both"/>
        <w:rPr>
          <w:rFonts w:ascii="Arial" w:eastAsia="Arial" w:hAnsi="Arial" w:cs="Arial"/>
          <w:sz w:val="24"/>
          <w:szCs w:val="24"/>
        </w:rPr>
      </w:pPr>
      <w:r w:rsidRPr="000E7AC8">
        <w:rPr>
          <w:rFonts w:ascii="Arial" w:eastAsia="Arial" w:hAnsi="Arial" w:cs="Arial"/>
          <w:sz w:val="24"/>
          <w:szCs w:val="24"/>
        </w:rPr>
        <w:t>Analisar o relatório anual enviado pelo órgão gestor da concessão;</w:t>
      </w:r>
    </w:p>
    <w:p w:rsidR="002B7C6D" w:rsidRPr="000E7AC8" w:rsidRDefault="00E75F7D">
      <w:pPr>
        <w:numPr>
          <w:ilvl w:val="0"/>
          <w:numId w:val="8"/>
        </w:numPr>
        <w:spacing w:line="360" w:lineRule="auto"/>
        <w:ind w:left="993" w:hanging="283"/>
        <w:jc w:val="both"/>
        <w:rPr>
          <w:rFonts w:ascii="Arial" w:eastAsia="Arial" w:hAnsi="Arial" w:cs="Arial"/>
          <w:sz w:val="24"/>
          <w:szCs w:val="24"/>
        </w:rPr>
      </w:pPr>
      <w:r w:rsidRPr="000E7AC8">
        <w:rPr>
          <w:rFonts w:ascii="Arial" w:eastAsia="Arial" w:hAnsi="Arial" w:cs="Arial"/>
          <w:sz w:val="24"/>
          <w:szCs w:val="24"/>
        </w:rPr>
        <w:t>Manifestar-se sobre a adequação do sistema de concessões florestais, de seu monitoramento;</w:t>
      </w:r>
    </w:p>
    <w:p w:rsidR="002B7C6D" w:rsidRPr="000E7AC8" w:rsidRDefault="00E75F7D">
      <w:pPr>
        <w:numPr>
          <w:ilvl w:val="0"/>
          <w:numId w:val="8"/>
        </w:numPr>
        <w:spacing w:line="360" w:lineRule="auto"/>
        <w:ind w:left="993" w:hanging="283"/>
        <w:jc w:val="both"/>
        <w:rPr>
          <w:rFonts w:ascii="Arial" w:eastAsia="Arial" w:hAnsi="Arial" w:cs="Arial"/>
          <w:sz w:val="24"/>
          <w:szCs w:val="24"/>
        </w:rPr>
      </w:pPr>
      <w:r w:rsidRPr="000E7AC8">
        <w:rPr>
          <w:rFonts w:ascii="Arial" w:eastAsia="Arial" w:hAnsi="Arial" w:cs="Arial"/>
          <w:sz w:val="24"/>
          <w:szCs w:val="24"/>
        </w:rPr>
        <w:lastRenderedPageBreak/>
        <w:t xml:space="preserve">Exercer atribuições de órgão consultivo da gestão de florestas públicas do Estado do Amazonas. </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 Comissão será composta por representantes do Poder Público, das entidades de classes, da comunidade científica e acadêmica, das organizações da sociedade civil, e terá sua composição e seu funcionamento definidos em regulamento próprio, conforme Art. 59. A Comissão contribuirá, também, na adoção de ações de gestão de florestas públicas, além de definir as áreas a serem submetidas à concessão florestal e coordenar ações voltadas ao incentivo e ordenamento do setor florestal (Figura 1). </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O </w:t>
      </w:r>
      <w:r w:rsidR="00D720F5">
        <w:rPr>
          <w:rFonts w:ascii="Arial" w:eastAsia="Arial" w:hAnsi="Arial" w:cs="Arial"/>
          <w:sz w:val="24"/>
          <w:szCs w:val="24"/>
        </w:rPr>
        <w:t>Ipaam</w:t>
      </w:r>
      <w:r w:rsidRPr="000E7AC8">
        <w:rPr>
          <w:rFonts w:ascii="Arial" w:eastAsia="Arial" w:hAnsi="Arial" w:cs="Arial"/>
          <w:sz w:val="24"/>
          <w:szCs w:val="24"/>
        </w:rPr>
        <w:t xml:space="preserve"> é responsável pelas atividades de licenciamento e fiscalização ambiental. No processo da Concessão Florestal é o órgão competente por expedir licenças e/ou autorizações, aplicações de autos de infração, aprovação, fiscalização e monitoramento dos Plano de Manejo Florestal Sustentável (PMFS), das Unidades de Manejo Florestal e das florestas públicas sob concessão florestal (Figura 1).</w:t>
      </w: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033571" w:rsidRPr="000E7AC8" w:rsidRDefault="00033571" w:rsidP="00033571">
      <w:pPr>
        <w:pStyle w:val="Legenda"/>
        <w:keepNext/>
        <w:rPr>
          <w:rFonts w:ascii="Arial" w:hAnsi="Arial" w:cs="Arial"/>
          <w:i w:val="0"/>
          <w:color w:val="auto"/>
        </w:rPr>
      </w:pPr>
      <w:bookmarkStart w:id="5" w:name="_Toc180053432"/>
      <w:bookmarkStart w:id="6" w:name="_Toc180054213"/>
      <w:bookmarkStart w:id="7" w:name="_Toc180139780"/>
      <w:r w:rsidRPr="000E7AC8">
        <w:rPr>
          <w:rFonts w:ascii="Arial" w:hAnsi="Arial" w:cs="Arial"/>
          <w:i w:val="0"/>
          <w:color w:val="auto"/>
        </w:rPr>
        <w:lastRenderedPageBreak/>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1</w:t>
      </w:r>
      <w:r w:rsidRPr="000E7AC8">
        <w:rPr>
          <w:rFonts w:ascii="Arial" w:hAnsi="Arial" w:cs="Arial"/>
          <w:i w:val="0"/>
          <w:color w:val="auto"/>
        </w:rPr>
        <w:fldChar w:fldCharType="end"/>
      </w:r>
      <w:r w:rsidRPr="000E7AC8">
        <w:rPr>
          <w:rFonts w:ascii="Arial" w:hAnsi="Arial" w:cs="Arial"/>
          <w:i w:val="0"/>
          <w:color w:val="auto"/>
        </w:rPr>
        <w:t>. Órgãos e Departamentos responsáveis pela Concessão Florestal no Estado do Amazonas.</w:t>
      </w:r>
      <w:bookmarkEnd w:id="5"/>
      <w:bookmarkEnd w:id="6"/>
      <w:bookmarkEnd w:id="7"/>
    </w:p>
    <w:p w:rsidR="002B7C6D" w:rsidRPr="000E7AC8" w:rsidRDefault="00E75F7D">
      <w:pPr>
        <w:rPr>
          <w:rFonts w:ascii="Arial" w:eastAsia="Arial" w:hAnsi="Arial" w:cs="Arial"/>
          <w:b/>
          <w:color w:val="38761D"/>
          <w:sz w:val="28"/>
          <w:szCs w:val="28"/>
        </w:rPr>
      </w:pPr>
      <w:r w:rsidRPr="000E7AC8">
        <w:rPr>
          <w:rFonts w:ascii="Arial" w:eastAsia="Arial" w:hAnsi="Arial" w:cs="Arial"/>
          <w:noProof/>
        </w:rPr>
        <w:drawing>
          <wp:inline distT="114300" distB="114300" distL="114300" distR="114300" wp14:anchorId="6891044A" wp14:editId="1E5E68FF">
            <wp:extent cx="5866929" cy="4152847"/>
            <wp:effectExtent l="0" t="0" r="0" b="0"/>
            <wp:docPr id="160312999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l="7462" t="13984" r="7113" b="4385"/>
                    <a:stretch>
                      <a:fillRect/>
                    </a:stretch>
                  </pic:blipFill>
                  <pic:spPr>
                    <a:xfrm>
                      <a:off x="0" y="0"/>
                      <a:ext cx="5866929" cy="4152847"/>
                    </a:xfrm>
                    <a:prstGeom prst="rect">
                      <a:avLst/>
                    </a:prstGeom>
                    <a:ln/>
                  </pic:spPr>
                </pic:pic>
              </a:graphicData>
            </a:graphic>
          </wp:inline>
        </w:drawing>
      </w:r>
    </w:p>
    <w:p w:rsidR="00222F5E" w:rsidRPr="000E7AC8" w:rsidRDefault="00222F5E">
      <w:pPr>
        <w:rPr>
          <w:rFonts w:ascii="Arial" w:eastAsia="Arial" w:hAnsi="Arial" w:cs="Arial"/>
          <w:b/>
          <w:color w:val="38761D"/>
          <w:sz w:val="28"/>
          <w:szCs w:val="28"/>
        </w:rPr>
      </w:pPr>
    </w:p>
    <w:p w:rsidR="002B7C6D" w:rsidRPr="000E7AC8" w:rsidRDefault="00E75F7D">
      <w:pPr>
        <w:pStyle w:val="Ttulo2"/>
        <w:ind w:firstLine="709"/>
        <w:rPr>
          <w:rFonts w:ascii="Arial" w:eastAsia="Arial" w:hAnsi="Arial" w:cs="Arial"/>
          <w:b/>
          <w:color w:val="000000"/>
          <w:sz w:val="24"/>
          <w:szCs w:val="24"/>
        </w:rPr>
      </w:pPr>
      <w:bookmarkStart w:id="8" w:name="_Toc180138736"/>
      <w:r w:rsidRPr="000E7AC8">
        <w:rPr>
          <w:rFonts w:ascii="Arial" w:eastAsia="Arial" w:hAnsi="Arial" w:cs="Arial"/>
          <w:b/>
          <w:color w:val="38761D"/>
          <w:sz w:val="28"/>
          <w:szCs w:val="28"/>
        </w:rPr>
        <w:t>3.1. FLORESTAS PÚBLICAS ESTADUAIS DO AMAZONAS</w:t>
      </w:r>
      <w:bookmarkEnd w:id="8"/>
    </w:p>
    <w:p w:rsidR="002B7C6D" w:rsidRPr="000E7AC8" w:rsidRDefault="002B7C6D">
      <w:pPr>
        <w:spacing w:line="360" w:lineRule="auto"/>
        <w:ind w:firstLine="709"/>
        <w:jc w:val="both"/>
        <w:rPr>
          <w:rFonts w:ascii="Arial" w:eastAsia="Arial" w:hAnsi="Arial" w:cs="Arial"/>
          <w:sz w:val="24"/>
          <w:szCs w:val="24"/>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O Estado do Amazonas é o maior estado do país em extensão territorial, com uma área de 155.925.588,10 h</w:t>
      </w:r>
      <w:r w:rsidR="00AD4EDB">
        <w:rPr>
          <w:rFonts w:ascii="Arial" w:eastAsia="Arial" w:hAnsi="Arial" w:cs="Arial"/>
          <w:sz w:val="24"/>
          <w:szCs w:val="24"/>
        </w:rPr>
        <w:t>ectares (ha)</w:t>
      </w:r>
      <w:r w:rsidRPr="000E7AC8">
        <w:rPr>
          <w:rFonts w:ascii="Arial" w:eastAsia="Arial" w:hAnsi="Arial" w:cs="Arial"/>
          <w:sz w:val="24"/>
          <w:szCs w:val="24"/>
        </w:rPr>
        <w:t xml:space="preserve">. Desse total, 134.302.021 ha correspondem às florestas públicas (SFB, 2020). As florestas públicas estaduais </w:t>
      </w:r>
      <w:r w:rsidR="00AD4EDB">
        <w:rPr>
          <w:rFonts w:ascii="Arial" w:eastAsia="Arial" w:hAnsi="Arial" w:cs="Arial"/>
          <w:sz w:val="24"/>
          <w:szCs w:val="24"/>
        </w:rPr>
        <w:t xml:space="preserve">são definidas segundo a Lei nº </w:t>
      </w:r>
      <w:r w:rsidRPr="000E7AC8">
        <w:rPr>
          <w:rFonts w:ascii="Arial" w:eastAsia="Arial" w:hAnsi="Arial" w:cs="Arial"/>
          <w:sz w:val="24"/>
          <w:szCs w:val="24"/>
        </w:rPr>
        <w:t>4.415/2016 como “florestas naturais ou plantadas, localizadas em áreas sob domínio do Estado do Amazonas”. A localização das Florestas Públicas do Estado do Amazonas e a sua classificação estão disponíveis no Cadastro Nacional de Florestas Públicas (CNFP), o que permite o estudo e a seleção das áreas passíveis de concessão florestal.</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lastRenderedPageBreak/>
        <w:t>Atualmente, as florestas estaduais do Amazonas são cadastradas no sistema federal CNFP e no Cadastro Nacional de Unidades de Conservação (CNUC), sendo mantido pelo Ministério do Meio Ambiente e Mudança do Clima, com a colaboração dos Órgãos Gestores Federais, Estaduais e Municipais. O Serviço Florestal Brasileiro (SFB) é responsável pela gestão do CNFP, instituído pelo artigo 14, parágrafo ún</w:t>
      </w:r>
      <w:r w:rsidR="000C2FC3">
        <w:rPr>
          <w:rFonts w:ascii="Arial" w:eastAsia="Arial" w:hAnsi="Arial" w:cs="Arial"/>
          <w:sz w:val="24"/>
          <w:szCs w:val="24"/>
        </w:rPr>
        <w:t>ico da Lei nº</w:t>
      </w:r>
      <w:r w:rsidRPr="000E7AC8">
        <w:rPr>
          <w:rFonts w:ascii="Arial" w:eastAsia="Arial" w:hAnsi="Arial" w:cs="Arial"/>
          <w:sz w:val="24"/>
          <w:szCs w:val="24"/>
        </w:rPr>
        <w:t xml:space="preserve"> 11.284/2006</w:t>
      </w:r>
      <w:r w:rsidR="000C2FC3">
        <w:rPr>
          <w:rFonts w:ascii="Arial" w:eastAsia="Arial" w:hAnsi="Arial" w:cs="Arial"/>
          <w:sz w:val="24"/>
          <w:szCs w:val="24"/>
        </w:rPr>
        <w:t xml:space="preserve">, regulamentado pelo Decreto nº </w:t>
      </w:r>
      <w:r w:rsidRPr="000E7AC8">
        <w:rPr>
          <w:rFonts w:ascii="Arial" w:eastAsia="Arial" w:hAnsi="Arial" w:cs="Arial"/>
          <w:sz w:val="24"/>
          <w:szCs w:val="24"/>
        </w:rPr>
        <w:t>6.</w:t>
      </w:r>
      <w:r w:rsidR="000C2FC3">
        <w:rPr>
          <w:rFonts w:ascii="Arial" w:eastAsia="Arial" w:hAnsi="Arial" w:cs="Arial"/>
          <w:sz w:val="24"/>
          <w:szCs w:val="24"/>
        </w:rPr>
        <w:t>063/2007 e pela Resolução SFB nº</w:t>
      </w:r>
      <w:r w:rsidRPr="000E7AC8">
        <w:rPr>
          <w:rFonts w:ascii="Arial" w:eastAsia="Arial" w:hAnsi="Arial" w:cs="Arial"/>
          <w:sz w:val="24"/>
          <w:szCs w:val="24"/>
        </w:rPr>
        <w:t xml:space="preserve"> 02/2007.</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No Estado do Amazonas, a Lei </w:t>
      </w:r>
      <w:r w:rsidR="000C2FC3">
        <w:rPr>
          <w:rFonts w:ascii="Arial" w:eastAsia="Arial" w:hAnsi="Arial" w:cs="Arial"/>
          <w:sz w:val="24"/>
          <w:szCs w:val="24"/>
        </w:rPr>
        <w:t xml:space="preserve">nº </w:t>
      </w:r>
      <w:r w:rsidRPr="000E7AC8">
        <w:rPr>
          <w:rFonts w:ascii="Arial" w:eastAsia="Arial" w:hAnsi="Arial" w:cs="Arial"/>
          <w:sz w:val="24"/>
          <w:szCs w:val="24"/>
        </w:rPr>
        <w:t>4.415/2016 instituiu o Cadastro de Florestas Públicas do Estado do Amazonas, que deverá ser interligado ao Sistema Nacional de Cadastro Ambi</w:t>
      </w:r>
      <w:r w:rsidR="000C2FC3">
        <w:rPr>
          <w:rFonts w:ascii="Arial" w:eastAsia="Arial" w:hAnsi="Arial" w:cs="Arial"/>
          <w:sz w:val="24"/>
          <w:szCs w:val="24"/>
        </w:rPr>
        <w:t>ental Rural (SICAR) e ao CNFP. E</w:t>
      </w:r>
      <w:r w:rsidRPr="000E7AC8">
        <w:rPr>
          <w:rFonts w:ascii="Arial" w:eastAsia="Arial" w:hAnsi="Arial" w:cs="Arial"/>
          <w:sz w:val="24"/>
          <w:szCs w:val="24"/>
        </w:rPr>
        <w:t>ntretanto, este dispositivo ainda não foi regulamentado pelo Estado, utilizando-se, portanto, os Cadastros Federais como base. Em relação a destinação de áreas no Estado, utiliza-se como base a Resolução SFB n</w:t>
      </w:r>
      <w:r w:rsidR="000C2FC3">
        <w:rPr>
          <w:rFonts w:ascii="Arial" w:eastAsia="Arial" w:hAnsi="Arial" w:cs="Arial"/>
          <w:sz w:val="24"/>
          <w:szCs w:val="24"/>
        </w:rPr>
        <w:t>º</w:t>
      </w:r>
      <w:r w:rsidRPr="000E7AC8">
        <w:rPr>
          <w:rFonts w:ascii="Arial" w:eastAsia="Arial" w:hAnsi="Arial" w:cs="Arial"/>
          <w:sz w:val="24"/>
          <w:szCs w:val="24"/>
        </w:rPr>
        <w:t xml:space="preserve"> 02/2007.</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Para as</w:t>
      </w:r>
      <w:r w:rsidR="00CB1D0C">
        <w:rPr>
          <w:rFonts w:ascii="Arial" w:eastAsia="Arial" w:hAnsi="Arial" w:cs="Arial"/>
          <w:sz w:val="24"/>
          <w:szCs w:val="24"/>
        </w:rPr>
        <w:t xml:space="preserve"> florestas públicas do Amazonas</w:t>
      </w:r>
      <w:r w:rsidRPr="000E7AC8">
        <w:rPr>
          <w:rFonts w:ascii="Arial" w:eastAsia="Arial" w:hAnsi="Arial" w:cs="Arial"/>
          <w:sz w:val="24"/>
          <w:szCs w:val="24"/>
        </w:rPr>
        <w:t xml:space="preserve"> são identificadas duas categorias, que podem ser do tipo A e tipo B. A Floresta Pública Tipo A (FPA) corresponde às florestas de</w:t>
      </w:r>
      <w:r w:rsidR="00CB1D0C">
        <w:rPr>
          <w:rFonts w:ascii="Arial" w:eastAsia="Arial" w:hAnsi="Arial" w:cs="Arial"/>
          <w:sz w:val="24"/>
          <w:szCs w:val="24"/>
        </w:rPr>
        <w:t>stinadas, que são florestas de domínio público</w:t>
      </w:r>
      <w:r w:rsidRPr="000E7AC8">
        <w:rPr>
          <w:rFonts w:ascii="Arial" w:eastAsia="Arial" w:hAnsi="Arial" w:cs="Arial"/>
          <w:sz w:val="24"/>
          <w:szCs w:val="24"/>
        </w:rPr>
        <w:t xml:space="preserve"> e com uma destinação específica, enquanto a Floresta Pública Tipo B (FPB) corresponde às florestas não destinadas, localizadas em áreas arrecadadas pelo Poder Público, mas que ainda não foram destinadas à utilização pela socied</w:t>
      </w:r>
      <w:r w:rsidR="00CB1D0C">
        <w:rPr>
          <w:rFonts w:ascii="Arial" w:eastAsia="Arial" w:hAnsi="Arial" w:cs="Arial"/>
          <w:sz w:val="24"/>
          <w:szCs w:val="24"/>
        </w:rPr>
        <w:t>ade, por usuários de serviços,</w:t>
      </w:r>
      <w:r w:rsidRPr="000E7AC8">
        <w:rPr>
          <w:rFonts w:ascii="Arial" w:eastAsia="Arial" w:hAnsi="Arial" w:cs="Arial"/>
          <w:sz w:val="24"/>
          <w:szCs w:val="24"/>
        </w:rPr>
        <w:t xml:space="preserve"> bens públicos ou por beneficiários</w:t>
      </w:r>
      <w:r w:rsidR="00CB1D0C">
        <w:rPr>
          <w:rFonts w:ascii="Arial" w:eastAsia="Arial" w:hAnsi="Arial" w:cs="Arial"/>
          <w:sz w:val="24"/>
          <w:szCs w:val="24"/>
        </w:rPr>
        <w:t xml:space="preserve"> diretos de atividades públicas</w:t>
      </w:r>
      <w:r w:rsidRPr="000E7AC8">
        <w:rPr>
          <w:rFonts w:ascii="Arial" w:eastAsia="Arial" w:hAnsi="Arial" w:cs="Arial"/>
          <w:sz w:val="24"/>
          <w:szCs w:val="24"/>
        </w:rPr>
        <w:t xml:space="preserve"> (Figura 2).</w:t>
      </w:r>
    </w:p>
    <w:p w:rsidR="002B7C6D" w:rsidRPr="000E7AC8" w:rsidRDefault="002B7C6D">
      <w:pPr>
        <w:spacing w:line="360" w:lineRule="auto"/>
        <w:jc w:val="both"/>
        <w:rPr>
          <w:rFonts w:ascii="Arial" w:eastAsia="Arial" w:hAnsi="Arial" w:cs="Arial"/>
          <w:sz w:val="24"/>
          <w:szCs w:val="24"/>
        </w:rPr>
      </w:pPr>
    </w:p>
    <w:p w:rsidR="002B7C6D" w:rsidRPr="000E7AC8" w:rsidRDefault="00E75F7D">
      <w:pPr>
        <w:rPr>
          <w:rFonts w:ascii="Arial" w:eastAsia="Arial" w:hAnsi="Arial" w:cs="Arial"/>
        </w:rPr>
      </w:pPr>
      <w:bookmarkStart w:id="9" w:name="_heading=h.26in1rg" w:colFirst="0" w:colLast="0"/>
      <w:bookmarkEnd w:id="9"/>
      <w:r w:rsidRPr="000E7AC8">
        <w:rPr>
          <w:rFonts w:ascii="Arial" w:hAnsi="Arial" w:cs="Arial"/>
        </w:rPr>
        <w:br w:type="page"/>
      </w:r>
    </w:p>
    <w:p w:rsidR="00033571" w:rsidRPr="000E7AC8" w:rsidRDefault="00033571" w:rsidP="00033571">
      <w:pPr>
        <w:pStyle w:val="Legenda"/>
        <w:keepNext/>
        <w:rPr>
          <w:rFonts w:ascii="Arial" w:hAnsi="Arial" w:cs="Arial"/>
          <w:i w:val="0"/>
          <w:color w:val="auto"/>
        </w:rPr>
      </w:pPr>
      <w:bookmarkStart w:id="10" w:name="_heading=h.ssnmfs39803w" w:colFirst="0" w:colLast="0"/>
      <w:bookmarkStart w:id="11" w:name="_Toc180053433"/>
      <w:bookmarkStart w:id="12" w:name="_Toc180054214"/>
      <w:bookmarkStart w:id="13" w:name="_Toc180139781"/>
      <w:bookmarkEnd w:id="10"/>
      <w:r w:rsidRPr="000E7AC8">
        <w:rPr>
          <w:rFonts w:ascii="Arial" w:hAnsi="Arial" w:cs="Arial"/>
          <w:i w:val="0"/>
          <w:color w:val="auto"/>
        </w:rPr>
        <w:lastRenderedPageBreak/>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2</w:t>
      </w:r>
      <w:r w:rsidRPr="000E7AC8">
        <w:rPr>
          <w:rFonts w:ascii="Arial" w:hAnsi="Arial" w:cs="Arial"/>
          <w:i w:val="0"/>
          <w:color w:val="auto"/>
        </w:rPr>
        <w:fldChar w:fldCharType="end"/>
      </w:r>
      <w:r w:rsidRPr="000E7AC8">
        <w:rPr>
          <w:rFonts w:ascii="Arial" w:hAnsi="Arial" w:cs="Arial"/>
          <w:i w:val="0"/>
          <w:color w:val="auto"/>
        </w:rPr>
        <w:t>. Classificação de floresta para Concessão Florestal.</w:t>
      </w:r>
      <w:bookmarkEnd w:id="11"/>
      <w:bookmarkEnd w:id="12"/>
      <w:bookmarkEnd w:id="13"/>
    </w:p>
    <w:p w:rsidR="002B7C6D" w:rsidRPr="000E7AC8" w:rsidRDefault="00E75F7D">
      <w:pPr>
        <w:pBdr>
          <w:top w:val="nil"/>
          <w:left w:val="nil"/>
          <w:bottom w:val="nil"/>
          <w:right w:val="nil"/>
          <w:between w:val="nil"/>
        </w:pBdr>
        <w:jc w:val="center"/>
        <w:rPr>
          <w:rFonts w:ascii="Arial" w:eastAsia="Arial" w:hAnsi="Arial" w:cs="Arial"/>
        </w:rPr>
      </w:pPr>
      <w:r w:rsidRPr="000E7AC8">
        <w:rPr>
          <w:rFonts w:ascii="Arial" w:eastAsia="Arial" w:hAnsi="Arial" w:cs="Arial"/>
          <w:noProof/>
        </w:rPr>
        <w:drawing>
          <wp:inline distT="114300" distB="114300" distL="114300" distR="114300" wp14:anchorId="26EEB782" wp14:editId="2F02CAE6">
            <wp:extent cx="3647440" cy="4599640"/>
            <wp:effectExtent l="0" t="0" r="0" b="0"/>
            <wp:docPr id="160312999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l="19247" r="22699"/>
                    <a:stretch>
                      <a:fillRect/>
                    </a:stretch>
                  </pic:blipFill>
                  <pic:spPr>
                    <a:xfrm>
                      <a:off x="0" y="0"/>
                      <a:ext cx="3647440" cy="4599640"/>
                    </a:xfrm>
                    <a:prstGeom prst="rect">
                      <a:avLst/>
                    </a:prstGeom>
                    <a:ln/>
                  </pic:spPr>
                </pic:pic>
              </a:graphicData>
            </a:graphic>
          </wp:inline>
        </w:drawing>
      </w:r>
    </w:p>
    <w:p w:rsidR="002B7C6D" w:rsidRPr="000E7AC8" w:rsidRDefault="002B7C6D">
      <w:pPr>
        <w:spacing w:line="360" w:lineRule="auto"/>
        <w:ind w:firstLine="709"/>
        <w:jc w:val="both"/>
        <w:rPr>
          <w:rFonts w:ascii="Arial" w:eastAsia="Arial" w:hAnsi="Arial" w:cs="Arial"/>
          <w:sz w:val="24"/>
          <w:szCs w:val="24"/>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Segundo o SFB (2020), o Estado do Amazonas concentra as maiores áreas de Florestas Públicas do Brasil. Estão registrados cerca de 134.302.021 ha, distribuídos em Florestas Públicas Federais, Estaduais e Municipais. Desse total, 94.022.170 ha correspondem às FPA e 40.279.851 ha pertencem à categoria FPB (Tabela 1).</w:t>
      </w:r>
    </w:p>
    <w:p w:rsidR="002B7C6D" w:rsidRPr="000E7AC8" w:rsidRDefault="002B7C6D">
      <w:pPr>
        <w:rPr>
          <w:rFonts w:ascii="Arial" w:eastAsia="Arial" w:hAnsi="Arial" w:cs="Arial"/>
        </w:rPr>
      </w:pPr>
    </w:p>
    <w:p w:rsidR="002B7C6D" w:rsidRPr="000E7AC8" w:rsidRDefault="002B7C6D">
      <w:pPr>
        <w:rPr>
          <w:rFonts w:ascii="Arial" w:eastAsia="Arial" w:hAnsi="Arial" w:cs="Arial"/>
        </w:rPr>
      </w:pPr>
    </w:p>
    <w:p w:rsidR="0081368D" w:rsidRPr="000E7AC8" w:rsidRDefault="0081368D">
      <w:pPr>
        <w:rPr>
          <w:rFonts w:ascii="Arial" w:eastAsia="Arial" w:hAnsi="Arial" w:cs="Arial"/>
        </w:rPr>
      </w:pPr>
    </w:p>
    <w:p w:rsidR="002B7C6D" w:rsidRPr="000E7AC8" w:rsidRDefault="002B7C6D">
      <w:pPr>
        <w:rPr>
          <w:rFonts w:ascii="Arial" w:eastAsia="Arial" w:hAnsi="Arial" w:cs="Arial"/>
        </w:rPr>
      </w:pPr>
    </w:p>
    <w:p w:rsidR="002B7C6D" w:rsidRPr="000E7AC8" w:rsidRDefault="002B7C6D">
      <w:pPr>
        <w:rPr>
          <w:rFonts w:ascii="Arial" w:eastAsia="Arial" w:hAnsi="Arial" w:cs="Arial"/>
        </w:rPr>
      </w:pPr>
    </w:p>
    <w:p w:rsidR="002B7C6D" w:rsidRPr="000E7AC8" w:rsidRDefault="002B7C6D">
      <w:pPr>
        <w:rPr>
          <w:rFonts w:ascii="Arial" w:eastAsia="Arial" w:hAnsi="Arial" w:cs="Arial"/>
        </w:rPr>
      </w:pPr>
    </w:p>
    <w:p w:rsidR="002B7C6D" w:rsidRPr="000E7AC8" w:rsidRDefault="00033571" w:rsidP="00033571">
      <w:pPr>
        <w:pStyle w:val="Legenda"/>
        <w:rPr>
          <w:rFonts w:ascii="Arial" w:eastAsia="Arial" w:hAnsi="Arial" w:cs="Arial"/>
          <w:i w:val="0"/>
          <w:color w:val="auto"/>
        </w:rPr>
      </w:pPr>
      <w:bookmarkStart w:id="14" w:name="_Toc180054239"/>
      <w:r w:rsidRPr="000E7AC8">
        <w:rPr>
          <w:rFonts w:ascii="Arial" w:hAnsi="Arial" w:cs="Arial"/>
          <w:i w:val="0"/>
          <w:color w:val="auto"/>
        </w:rPr>
        <w:lastRenderedPageBreak/>
        <w:t xml:space="preserve">Tabela </w:t>
      </w:r>
      <w:r w:rsidRPr="000E7AC8">
        <w:rPr>
          <w:rFonts w:ascii="Arial" w:hAnsi="Arial" w:cs="Arial"/>
          <w:i w:val="0"/>
          <w:color w:val="auto"/>
        </w:rPr>
        <w:fldChar w:fldCharType="begin"/>
      </w:r>
      <w:r w:rsidRPr="000E7AC8">
        <w:rPr>
          <w:rFonts w:ascii="Arial" w:hAnsi="Arial" w:cs="Arial"/>
          <w:i w:val="0"/>
          <w:color w:val="auto"/>
        </w:rPr>
        <w:instrText xml:space="preserve"> SEQ Tabela \* ARABIC </w:instrText>
      </w:r>
      <w:r w:rsidRPr="000E7AC8">
        <w:rPr>
          <w:rFonts w:ascii="Arial" w:hAnsi="Arial" w:cs="Arial"/>
          <w:i w:val="0"/>
          <w:color w:val="auto"/>
        </w:rPr>
        <w:fldChar w:fldCharType="separate"/>
      </w:r>
      <w:r w:rsidR="009247C4" w:rsidRPr="000E7AC8">
        <w:rPr>
          <w:rFonts w:ascii="Arial" w:hAnsi="Arial" w:cs="Arial"/>
          <w:i w:val="0"/>
          <w:noProof/>
          <w:color w:val="auto"/>
        </w:rPr>
        <w:t>1</w:t>
      </w:r>
      <w:r w:rsidRPr="000E7AC8">
        <w:rPr>
          <w:rFonts w:ascii="Arial" w:hAnsi="Arial" w:cs="Arial"/>
          <w:i w:val="0"/>
          <w:color w:val="auto"/>
        </w:rPr>
        <w:fldChar w:fldCharType="end"/>
      </w:r>
      <w:r w:rsidRPr="000E7AC8">
        <w:rPr>
          <w:rFonts w:ascii="Arial" w:hAnsi="Arial" w:cs="Arial"/>
          <w:i w:val="0"/>
          <w:color w:val="auto"/>
        </w:rPr>
        <w:t>. Área de florestas públicas destinadas (Tipo A) e não destinadas (Tipo B) inseridas no Cadastro Nacional de Florestas Públicas até 2020 para o Estado do Amazonas (SFB, 2020).</w:t>
      </w:r>
      <w:bookmarkEnd w:id="14"/>
    </w:p>
    <w:tbl>
      <w:tblPr>
        <w:tblStyle w:val="a7"/>
        <w:tblW w:w="807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5379"/>
        <w:gridCol w:w="2693"/>
      </w:tblGrid>
      <w:tr w:rsidR="002B7C6D" w:rsidRPr="000E7AC8" w:rsidTr="00222F5E">
        <w:trPr>
          <w:trHeight w:val="397"/>
          <w:jc w:val="center"/>
        </w:trPr>
        <w:tc>
          <w:tcPr>
            <w:tcW w:w="5379" w:type="dxa"/>
            <w:tcBorders>
              <w:top w:val="single" w:sz="6" w:space="0" w:color="BFBFBF"/>
              <w:left w:val="single" w:sz="6" w:space="0" w:color="BFBFBF"/>
              <w:bottom w:val="single" w:sz="6" w:space="0" w:color="BFBFBF"/>
              <w:right w:val="single" w:sz="6" w:space="0" w:color="BFBFBF"/>
            </w:tcBorders>
            <w:shd w:val="clear" w:color="auto" w:fill="9BBB59"/>
            <w:tcMar>
              <w:top w:w="-183" w:type="dxa"/>
              <w:left w:w="-183" w:type="dxa"/>
              <w:bottom w:w="-183" w:type="dxa"/>
              <w:right w:w="-183" w:type="dxa"/>
            </w:tcMar>
            <w:vAlign w:val="center"/>
          </w:tcPr>
          <w:p w:rsidR="002B7C6D" w:rsidRPr="000E7AC8" w:rsidRDefault="00E75F7D">
            <w:pPr>
              <w:keepNext/>
              <w:ind w:right="100"/>
              <w:jc w:val="center"/>
              <w:rPr>
                <w:rFonts w:ascii="Arial" w:eastAsia="Arial" w:hAnsi="Arial" w:cs="Arial"/>
                <w:b/>
                <w:sz w:val="24"/>
                <w:szCs w:val="24"/>
              </w:rPr>
            </w:pPr>
            <w:r w:rsidRPr="000E7AC8">
              <w:rPr>
                <w:rFonts w:ascii="Arial" w:eastAsia="Arial" w:hAnsi="Arial" w:cs="Arial"/>
                <w:b/>
                <w:sz w:val="24"/>
                <w:szCs w:val="24"/>
              </w:rPr>
              <w:t>Tipos de Florestas</w:t>
            </w:r>
          </w:p>
        </w:tc>
        <w:tc>
          <w:tcPr>
            <w:tcW w:w="2693" w:type="dxa"/>
            <w:tcBorders>
              <w:top w:val="single" w:sz="6" w:space="0" w:color="BFBFBF"/>
              <w:left w:val="nil"/>
              <w:bottom w:val="single" w:sz="6" w:space="0" w:color="BFBFBF"/>
              <w:right w:val="single" w:sz="6" w:space="0" w:color="BFBFBF"/>
            </w:tcBorders>
            <w:shd w:val="clear" w:color="auto" w:fill="9BBB59"/>
            <w:tcMar>
              <w:top w:w="-183" w:type="dxa"/>
              <w:left w:w="-183" w:type="dxa"/>
              <w:bottom w:w="-183" w:type="dxa"/>
              <w:right w:w="-183" w:type="dxa"/>
            </w:tcMar>
            <w:vAlign w:val="center"/>
          </w:tcPr>
          <w:p w:rsidR="002B7C6D" w:rsidRPr="000E7AC8" w:rsidRDefault="00E75F7D">
            <w:pPr>
              <w:keepNext/>
              <w:ind w:left="100" w:right="100"/>
              <w:jc w:val="center"/>
              <w:rPr>
                <w:rFonts w:ascii="Arial" w:eastAsia="Arial" w:hAnsi="Arial" w:cs="Arial"/>
                <w:b/>
                <w:sz w:val="24"/>
                <w:szCs w:val="24"/>
              </w:rPr>
            </w:pPr>
            <w:r w:rsidRPr="000E7AC8">
              <w:rPr>
                <w:rFonts w:ascii="Arial" w:eastAsia="Arial" w:hAnsi="Arial" w:cs="Arial"/>
                <w:b/>
                <w:sz w:val="24"/>
                <w:szCs w:val="24"/>
              </w:rPr>
              <w:t>Área total (ha)</w:t>
            </w:r>
          </w:p>
        </w:tc>
      </w:tr>
      <w:tr w:rsidR="002B7C6D" w:rsidRPr="000E7AC8" w:rsidTr="00222F5E">
        <w:trPr>
          <w:trHeight w:val="397"/>
          <w:jc w:val="center"/>
        </w:trPr>
        <w:tc>
          <w:tcPr>
            <w:tcW w:w="5379" w:type="dxa"/>
            <w:tcBorders>
              <w:top w:val="single" w:sz="6" w:space="0" w:color="BFBFBF"/>
              <w:left w:val="nil"/>
              <w:bottom w:val="single" w:sz="6" w:space="0" w:color="BFBFBF"/>
              <w:right w:val="single" w:sz="6" w:space="0" w:color="BFBFBF"/>
            </w:tcBorders>
            <w:tcMar>
              <w:top w:w="-183" w:type="dxa"/>
              <w:left w:w="-183" w:type="dxa"/>
              <w:bottom w:w="-183" w:type="dxa"/>
              <w:right w:w="-183" w:type="dxa"/>
            </w:tcMar>
            <w:vAlign w:val="center"/>
          </w:tcPr>
          <w:p w:rsidR="002B7C6D" w:rsidRPr="000E7AC8" w:rsidRDefault="00E75F7D">
            <w:pPr>
              <w:keepNext/>
              <w:ind w:left="100" w:right="100"/>
              <w:jc w:val="center"/>
              <w:rPr>
                <w:rFonts w:ascii="Arial" w:eastAsia="Arial" w:hAnsi="Arial" w:cs="Arial"/>
                <w:sz w:val="24"/>
                <w:szCs w:val="24"/>
              </w:rPr>
            </w:pPr>
            <w:r w:rsidRPr="000E7AC8">
              <w:rPr>
                <w:rFonts w:ascii="Arial" w:eastAsia="Arial" w:hAnsi="Arial" w:cs="Arial"/>
                <w:sz w:val="24"/>
                <w:szCs w:val="24"/>
              </w:rPr>
              <w:t>Destinadas (FPA)</w:t>
            </w:r>
          </w:p>
        </w:tc>
        <w:tc>
          <w:tcPr>
            <w:tcW w:w="2693" w:type="dxa"/>
            <w:tcBorders>
              <w:top w:val="single" w:sz="6" w:space="0" w:color="BFBFBF"/>
              <w:left w:val="nil"/>
              <w:bottom w:val="single" w:sz="6" w:space="0" w:color="BFBFBF"/>
              <w:right w:val="nil"/>
            </w:tcBorders>
            <w:tcMar>
              <w:top w:w="-183" w:type="dxa"/>
              <w:left w:w="-183" w:type="dxa"/>
              <w:bottom w:w="-183" w:type="dxa"/>
              <w:right w:w="-183" w:type="dxa"/>
            </w:tcMar>
            <w:vAlign w:val="center"/>
          </w:tcPr>
          <w:p w:rsidR="002B7C6D" w:rsidRPr="000E7AC8" w:rsidRDefault="00E75F7D">
            <w:pPr>
              <w:keepNext/>
              <w:ind w:left="100" w:right="100"/>
              <w:jc w:val="center"/>
              <w:rPr>
                <w:rFonts w:ascii="Arial" w:eastAsia="Arial" w:hAnsi="Arial" w:cs="Arial"/>
                <w:sz w:val="24"/>
                <w:szCs w:val="24"/>
              </w:rPr>
            </w:pPr>
            <w:r w:rsidRPr="000E7AC8">
              <w:rPr>
                <w:rFonts w:ascii="Arial" w:eastAsia="Arial" w:hAnsi="Arial" w:cs="Arial"/>
                <w:sz w:val="24"/>
                <w:szCs w:val="24"/>
              </w:rPr>
              <w:t>94.022.170</w:t>
            </w:r>
          </w:p>
        </w:tc>
      </w:tr>
      <w:tr w:rsidR="002B7C6D" w:rsidRPr="000E7AC8" w:rsidTr="00222F5E">
        <w:trPr>
          <w:trHeight w:val="397"/>
          <w:jc w:val="center"/>
        </w:trPr>
        <w:tc>
          <w:tcPr>
            <w:tcW w:w="5379" w:type="dxa"/>
            <w:tcBorders>
              <w:top w:val="single" w:sz="6" w:space="0" w:color="BFBFBF"/>
              <w:left w:val="nil"/>
              <w:bottom w:val="single" w:sz="6" w:space="0" w:color="BFBFBF"/>
              <w:right w:val="single" w:sz="6" w:space="0" w:color="BFBFBF"/>
            </w:tcBorders>
            <w:tcMar>
              <w:top w:w="-183" w:type="dxa"/>
              <w:left w:w="-183" w:type="dxa"/>
              <w:bottom w:w="-183" w:type="dxa"/>
              <w:right w:w="-183" w:type="dxa"/>
            </w:tcMar>
            <w:vAlign w:val="center"/>
          </w:tcPr>
          <w:p w:rsidR="002B7C6D" w:rsidRPr="000E7AC8" w:rsidRDefault="00206B69" w:rsidP="00206B69">
            <w:pPr>
              <w:keepNext/>
              <w:ind w:left="100" w:right="100"/>
              <w:jc w:val="center"/>
              <w:rPr>
                <w:rFonts w:ascii="Arial" w:eastAsia="Arial" w:hAnsi="Arial" w:cs="Arial"/>
                <w:sz w:val="24"/>
                <w:szCs w:val="24"/>
              </w:rPr>
            </w:pPr>
            <w:r>
              <w:rPr>
                <w:rFonts w:ascii="Arial" w:eastAsia="Arial" w:hAnsi="Arial" w:cs="Arial"/>
                <w:sz w:val="24"/>
                <w:szCs w:val="24"/>
              </w:rPr>
              <w:t>Não destinadas (FPB)</w:t>
            </w:r>
          </w:p>
        </w:tc>
        <w:tc>
          <w:tcPr>
            <w:tcW w:w="2693" w:type="dxa"/>
            <w:tcBorders>
              <w:top w:val="single" w:sz="6" w:space="0" w:color="BFBFBF"/>
              <w:left w:val="nil"/>
              <w:bottom w:val="single" w:sz="6" w:space="0" w:color="BFBFBF"/>
              <w:right w:val="nil"/>
            </w:tcBorders>
            <w:tcMar>
              <w:top w:w="-183" w:type="dxa"/>
              <w:left w:w="-183" w:type="dxa"/>
              <w:bottom w:w="-183" w:type="dxa"/>
              <w:right w:w="-183" w:type="dxa"/>
            </w:tcMar>
            <w:vAlign w:val="center"/>
          </w:tcPr>
          <w:p w:rsidR="002B7C6D" w:rsidRPr="000E7AC8" w:rsidRDefault="00E75F7D">
            <w:pPr>
              <w:keepNext/>
              <w:ind w:left="100" w:right="100"/>
              <w:jc w:val="center"/>
              <w:rPr>
                <w:rFonts w:ascii="Arial" w:eastAsia="Arial" w:hAnsi="Arial" w:cs="Arial"/>
                <w:sz w:val="24"/>
                <w:szCs w:val="24"/>
              </w:rPr>
            </w:pPr>
            <w:r w:rsidRPr="000E7AC8">
              <w:rPr>
                <w:rFonts w:ascii="Arial" w:eastAsia="Arial" w:hAnsi="Arial" w:cs="Arial"/>
                <w:sz w:val="24"/>
                <w:szCs w:val="24"/>
              </w:rPr>
              <w:t>40.279.851</w:t>
            </w:r>
          </w:p>
        </w:tc>
      </w:tr>
      <w:tr w:rsidR="002B7C6D" w:rsidRPr="000E7AC8" w:rsidTr="00222F5E">
        <w:trPr>
          <w:trHeight w:val="397"/>
          <w:jc w:val="center"/>
        </w:trPr>
        <w:tc>
          <w:tcPr>
            <w:tcW w:w="5379" w:type="dxa"/>
            <w:tcBorders>
              <w:top w:val="single" w:sz="6" w:space="0" w:color="BFBFBF"/>
              <w:left w:val="nil"/>
              <w:bottom w:val="single" w:sz="6" w:space="0" w:color="BFBFBF"/>
              <w:right w:val="single" w:sz="6" w:space="0" w:color="BFBFBF"/>
            </w:tcBorders>
            <w:tcMar>
              <w:top w:w="-183" w:type="dxa"/>
              <w:left w:w="-183" w:type="dxa"/>
              <w:bottom w:w="-183" w:type="dxa"/>
              <w:right w:w="-183" w:type="dxa"/>
            </w:tcMar>
            <w:vAlign w:val="center"/>
          </w:tcPr>
          <w:p w:rsidR="002B7C6D" w:rsidRPr="000E7AC8" w:rsidRDefault="00E75F7D">
            <w:pPr>
              <w:keepNext/>
              <w:ind w:left="100" w:right="100"/>
              <w:jc w:val="center"/>
              <w:rPr>
                <w:rFonts w:ascii="Arial" w:eastAsia="Arial" w:hAnsi="Arial" w:cs="Arial"/>
                <w:b/>
                <w:sz w:val="24"/>
                <w:szCs w:val="24"/>
              </w:rPr>
            </w:pPr>
            <w:r w:rsidRPr="000E7AC8">
              <w:rPr>
                <w:rFonts w:ascii="Arial" w:eastAsia="Arial" w:hAnsi="Arial" w:cs="Arial"/>
                <w:b/>
                <w:sz w:val="24"/>
                <w:szCs w:val="24"/>
              </w:rPr>
              <w:t>Total</w:t>
            </w:r>
          </w:p>
        </w:tc>
        <w:tc>
          <w:tcPr>
            <w:tcW w:w="2693" w:type="dxa"/>
            <w:tcBorders>
              <w:top w:val="single" w:sz="6" w:space="0" w:color="BFBFBF"/>
              <w:left w:val="nil"/>
              <w:bottom w:val="single" w:sz="6" w:space="0" w:color="BFBFBF"/>
              <w:right w:val="nil"/>
            </w:tcBorders>
            <w:tcMar>
              <w:top w:w="-183" w:type="dxa"/>
              <w:left w:w="-183" w:type="dxa"/>
              <w:bottom w:w="-183" w:type="dxa"/>
              <w:right w:w="-183" w:type="dxa"/>
            </w:tcMar>
            <w:vAlign w:val="center"/>
          </w:tcPr>
          <w:p w:rsidR="002B7C6D" w:rsidRPr="000E7AC8" w:rsidRDefault="00E75F7D">
            <w:pPr>
              <w:keepNext/>
              <w:ind w:left="100" w:right="100"/>
              <w:jc w:val="center"/>
              <w:rPr>
                <w:rFonts w:ascii="Arial" w:eastAsia="Arial" w:hAnsi="Arial" w:cs="Arial"/>
                <w:b/>
                <w:sz w:val="24"/>
                <w:szCs w:val="24"/>
              </w:rPr>
            </w:pPr>
            <w:bookmarkStart w:id="15" w:name="_heading=h.vyyroawj97h9" w:colFirst="0" w:colLast="0"/>
            <w:bookmarkEnd w:id="15"/>
            <w:r w:rsidRPr="000E7AC8">
              <w:rPr>
                <w:rFonts w:ascii="Arial" w:eastAsia="Arial" w:hAnsi="Arial" w:cs="Arial"/>
                <w:b/>
                <w:sz w:val="24"/>
                <w:szCs w:val="24"/>
              </w:rPr>
              <w:t>134.302.021</w:t>
            </w:r>
          </w:p>
        </w:tc>
      </w:tr>
    </w:tbl>
    <w:p w:rsidR="002B7C6D" w:rsidRPr="000E7AC8" w:rsidRDefault="002B7C6D">
      <w:pPr>
        <w:pStyle w:val="Ttulo2"/>
        <w:rPr>
          <w:rFonts w:ascii="Arial" w:eastAsia="Arial" w:hAnsi="Arial" w:cs="Arial"/>
          <w:b/>
          <w:color w:val="38761D"/>
          <w:sz w:val="28"/>
          <w:szCs w:val="28"/>
        </w:rPr>
      </w:pPr>
      <w:bookmarkStart w:id="16" w:name="_heading=h.4d34og8" w:colFirst="0" w:colLast="0"/>
      <w:bookmarkEnd w:id="16"/>
    </w:p>
    <w:p w:rsidR="002B7C6D" w:rsidRPr="000E7AC8" w:rsidRDefault="00E75F7D">
      <w:pPr>
        <w:pStyle w:val="Ttulo2"/>
        <w:rPr>
          <w:rFonts w:ascii="Arial" w:eastAsia="Arial" w:hAnsi="Arial" w:cs="Arial"/>
          <w:b/>
          <w:color w:val="38761D"/>
          <w:sz w:val="28"/>
          <w:szCs w:val="28"/>
        </w:rPr>
      </w:pPr>
      <w:bookmarkStart w:id="17" w:name="_Toc180138737"/>
      <w:r w:rsidRPr="000E7AC8">
        <w:rPr>
          <w:rFonts w:ascii="Arial" w:eastAsia="Arial" w:hAnsi="Arial" w:cs="Arial"/>
          <w:b/>
          <w:color w:val="38761D"/>
          <w:sz w:val="28"/>
          <w:szCs w:val="28"/>
        </w:rPr>
        <w:t>3.2. DISTRIBUIÇÃO E CLASSIFICAÇÃO DAS FLORESTAS PÚBLICAS NO ESTADO DO AMAZONAS</w:t>
      </w:r>
      <w:bookmarkEnd w:id="17"/>
    </w:p>
    <w:p w:rsidR="002B7C6D" w:rsidRPr="000E7AC8" w:rsidRDefault="002B7C6D">
      <w:pPr>
        <w:rPr>
          <w:rFonts w:ascii="Arial" w:eastAsia="Arial" w:hAnsi="Arial" w:cs="Arial"/>
          <w:sz w:val="24"/>
          <w:szCs w:val="24"/>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O Estado do Amazonas possui 42 Unidades </w:t>
      </w:r>
      <w:r w:rsidR="00117729">
        <w:rPr>
          <w:rFonts w:ascii="Arial" w:eastAsia="Arial" w:hAnsi="Arial" w:cs="Arial"/>
          <w:sz w:val="24"/>
          <w:szCs w:val="24"/>
        </w:rPr>
        <w:t>de Conservação Estaduais (UC). Criadas a partir de 1989, essas áreas</w:t>
      </w:r>
      <w:r w:rsidRPr="000E7AC8">
        <w:rPr>
          <w:rFonts w:ascii="Arial" w:eastAsia="Arial" w:hAnsi="Arial" w:cs="Arial"/>
          <w:sz w:val="24"/>
          <w:szCs w:val="24"/>
        </w:rPr>
        <w:t xml:space="preserve"> podem ser compreendidas como territórios de sociobiodiversidade, com marco regulatório próprio, que carregam em seus princípios fundamentais a preservação e/ou conservação, dependendo do tipo de </w:t>
      </w:r>
      <w:r w:rsidR="00117729">
        <w:rPr>
          <w:rFonts w:ascii="Arial" w:eastAsia="Arial" w:hAnsi="Arial" w:cs="Arial"/>
          <w:sz w:val="24"/>
          <w:szCs w:val="24"/>
        </w:rPr>
        <w:t xml:space="preserve">UC. </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As 42 UCs do Estado </w:t>
      </w:r>
      <w:r w:rsidR="00117729">
        <w:rPr>
          <w:rFonts w:ascii="Arial" w:eastAsia="Arial" w:hAnsi="Arial" w:cs="Arial"/>
          <w:sz w:val="24"/>
          <w:szCs w:val="24"/>
        </w:rPr>
        <w:t>podem ser</w:t>
      </w:r>
      <w:r w:rsidRPr="000E7AC8">
        <w:rPr>
          <w:rFonts w:ascii="Arial" w:eastAsia="Arial" w:hAnsi="Arial" w:cs="Arial"/>
          <w:sz w:val="24"/>
          <w:szCs w:val="24"/>
        </w:rPr>
        <w:t xml:space="preserve"> classificadas nas categorias de Proteção Integral e de Uso Sustentável. A categoria de Proteção Integral totaliza oito UCs, das quais uma é Reserva Biológica (REBIO) e sete são Parques Estaduais (PAREST). A categoria de Uso Sustentável totaliza 34 UCs, distribuídas em 16 Reservas de Desenvolvimento Sustentável (RDS), quatro Reservas Extrativistas (</w:t>
      </w:r>
      <w:r w:rsidR="00117729">
        <w:rPr>
          <w:rFonts w:ascii="Arial" w:eastAsia="Arial" w:hAnsi="Arial" w:cs="Arial"/>
          <w:sz w:val="24"/>
          <w:szCs w:val="24"/>
        </w:rPr>
        <w:t>Resex</w:t>
      </w:r>
      <w:r w:rsidRPr="000E7AC8">
        <w:rPr>
          <w:rFonts w:ascii="Arial" w:eastAsia="Arial" w:hAnsi="Arial" w:cs="Arial"/>
          <w:sz w:val="24"/>
          <w:szCs w:val="24"/>
        </w:rPr>
        <w:t>), seis Áreas de Preservação Ambiental (APA) e oito Florestas Estaduais (Tabela 2).</w:t>
      </w:r>
    </w:p>
    <w:p w:rsidR="002B7C6D" w:rsidRPr="000E7AC8" w:rsidRDefault="00E75F7D">
      <w:pPr>
        <w:rPr>
          <w:rFonts w:ascii="Arial" w:eastAsia="Arial" w:hAnsi="Arial" w:cs="Arial"/>
          <w:sz w:val="24"/>
          <w:szCs w:val="24"/>
        </w:rPr>
      </w:pPr>
      <w:r w:rsidRPr="000E7AC8">
        <w:rPr>
          <w:rFonts w:ascii="Arial" w:hAnsi="Arial" w:cs="Arial"/>
        </w:rPr>
        <w:br w:type="page"/>
      </w:r>
    </w:p>
    <w:p w:rsidR="00033571" w:rsidRPr="000E7AC8" w:rsidRDefault="00033571" w:rsidP="00033571">
      <w:pPr>
        <w:pStyle w:val="Legenda"/>
        <w:keepNext/>
        <w:rPr>
          <w:rFonts w:ascii="Arial" w:hAnsi="Arial" w:cs="Arial"/>
          <w:i w:val="0"/>
          <w:color w:val="auto"/>
        </w:rPr>
      </w:pPr>
      <w:bookmarkStart w:id="18" w:name="_Toc180054240"/>
      <w:r w:rsidRPr="000E7AC8">
        <w:rPr>
          <w:rFonts w:ascii="Arial" w:hAnsi="Arial" w:cs="Arial"/>
          <w:i w:val="0"/>
          <w:color w:val="auto"/>
        </w:rPr>
        <w:lastRenderedPageBreak/>
        <w:t xml:space="preserve">Tabela </w:t>
      </w:r>
      <w:r w:rsidRPr="000E7AC8">
        <w:rPr>
          <w:rFonts w:ascii="Arial" w:hAnsi="Arial" w:cs="Arial"/>
          <w:i w:val="0"/>
          <w:color w:val="auto"/>
        </w:rPr>
        <w:fldChar w:fldCharType="begin"/>
      </w:r>
      <w:r w:rsidRPr="000E7AC8">
        <w:rPr>
          <w:rFonts w:ascii="Arial" w:hAnsi="Arial" w:cs="Arial"/>
          <w:i w:val="0"/>
          <w:color w:val="auto"/>
        </w:rPr>
        <w:instrText xml:space="preserve"> SEQ Tabela \* ARABIC </w:instrText>
      </w:r>
      <w:r w:rsidRPr="000E7AC8">
        <w:rPr>
          <w:rFonts w:ascii="Arial" w:hAnsi="Arial" w:cs="Arial"/>
          <w:i w:val="0"/>
          <w:color w:val="auto"/>
        </w:rPr>
        <w:fldChar w:fldCharType="separate"/>
      </w:r>
      <w:r w:rsidR="009247C4" w:rsidRPr="000E7AC8">
        <w:rPr>
          <w:rFonts w:ascii="Arial" w:hAnsi="Arial" w:cs="Arial"/>
          <w:i w:val="0"/>
          <w:noProof/>
          <w:color w:val="auto"/>
        </w:rPr>
        <w:t>2</w:t>
      </w:r>
      <w:r w:rsidRPr="000E7AC8">
        <w:rPr>
          <w:rFonts w:ascii="Arial" w:hAnsi="Arial" w:cs="Arial"/>
          <w:i w:val="0"/>
          <w:color w:val="auto"/>
        </w:rPr>
        <w:fldChar w:fldCharType="end"/>
      </w:r>
      <w:r w:rsidRPr="000E7AC8">
        <w:rPr>
          <w:rFonts w:ascii="Arial" w:hAnsi="Arial" w:cs="Arial"/>
          <w:i w:val="0"/>
          <w:color w:val="auto"/>
        </w:rPr>
        <w:t>. Classificação das Unidades de Conservação Estadual do Amazonas.</w:t>
      </w:r>
      <w:bookmarkEnd w:id="18"/>
    </w:p>
    <w:tbl>
      <w:tblPr>
        <w:tblStyle w:val="a8"/>
        <w:tblW w:w="9311" w:type="dxa"/>
        <w:jc w:val="center"/>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4A0" w:firstRow="1" w:lastRow="0" w:firstColumn="1" w:lastColumn="0" w:noHBand="0" w:noVBand="1"/>
      </w:tblPr>
      <w:tblGrid>
        <w:gridCol w:w="2327"/>
        <w:gridCol w:w="2328"/>
        <w:gridCol w:w="2328"/>
        <w:gridCol w:w="2328"/>
      </w:tblGrid>
      <w:tr w:rsidR="002B7C6D" w:rsidRPr="000E7AC8" w:rsidTr="002B7C6D">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327" w:type="dxa"/>
            <w:tcBorders>
              <w:bottom w:val="single" w:sz="6" w:space="0" w:color="BFBFBF"/>
              <w:right w:val="single" w:sz="6" w:space="0" w:color="BFBFBF"/>
            </w:tcBorders>
            <w:shd w:val="clear" w:color="auto" w:fill="9BBB59"/>
            <w:tcMar>
              <w:top w:w="-283" w:type="dxa"/>
              <w:left w:w="-283" w:type="dxa"/>
              <w:bottom w:w="-283" w:type="dxa"/>
              <w:right w:w="-283" w:type="dxa"/>
            </w:tcMar>
            <w:vAlign w:val="center"/>
          </w:tcPr>
          <w:p w:rsidR="002B7C6D" w:rsidRPr="000E7AC8" w:rsidRDefault="00E75F7D">
            <w:pPr>
              <w:spacing w:line="360" w:lineRule="auto"/>
              <w:jc w:val="center"/>
              <w:rPr>
                <w:rFonts w:ascii="Arial" w:eastAsia="Arial" w:hAnsi="Arial" w:cs="Arial"/>
                <w:sz w:val="24"/>
                <w:szCs w:val="24"/>
              </w:rPr>
            </w:pPr>
            <w:r w:rsidRPr="000E7AC8">
              <w:rPr>
                <w:rFonts w:ascii="Arial" w:eastAsia="Arial" w:hAnsi="Arial" w:cs="Arial"/>
                <w:sz w:val="24"/>
                <w:szCs w:val="24"/>
              </w:rPr>
              <w:t>Categoria</w:t>
            </w:r>
          </w:p>
        </w:tc>
        <w:tc>
          <w:tcPr>
            <w:tcW w:w="2328" w:type="dxa"/>
            <w:tcBorders>
              <w:left w:val="single" w:sz="6" w:space="0" w:color="BFBFBF"/>
              <w:bottom w:val="single" w:sz="6" w:space="0" w:color="BFBFBF"/>
              <w:right w:val="single" w:sz="6" w:space="0" w:color="BFBFBF"/>
            </w:tcBorders>
            <w:shd w:val="clear" w:color="auto" w:fill="9BBB59"/>
            <w:tcMar>
              <w:top w:w="-283" w:type="dxa"/>
              <w:left w:w="-283" w:type="dxa"/>
              <w:bottom w:w="-283" w:type="dxa"/>
              <w:right w:w="-283" w:type="dxa"/>
            </w:tcMar>
            <w:vAlign w:val="center"/>
          </w:tcPr>
          <w:p w:rsidR="002B7C6D" w:rsidRPr="000E7AC8" w:rsidRDefault="00E75F7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Classificação</w:t>
            </w:r>
          </w:p>
        </w:tc>
        <w:tc>
          <w:tcPr>
            <w:tcW w:w="2328" w:type="dxa"/>
            <w:tcBorders>
              <w:left w:val="single" w:sz="6" w:space="0" w:color="BFBFBF"/>
            </w:tcBorders>
            <w:shd w:val="clear" w:color="auto" w:fill="9BBB59"/>
            <w:tcMar>
              <w:top w:w="-283" w:type="dxa"/>
              <w:left w:w="-283" w:type="dxa"/>
              <w:bottom w:w="-283" w:type="dxa"/>
              <w:right w:w="-283" w:type="dxa"/>
            </w:tcMar>
            <w:vAlign w:val="center"/>
          </w:tcPr>
          <w:p w:rsidR="002B7C6D" w:rsidRPr="000E7AC8" w:rsidRDefault="00E75F7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Quantidade</w:t>
            </w:r>
          </w:p>
        </w:tc>
        <w:tc>
          <w:tcPr>
            <w:tcW w:w="2328" w:type="dxa"/>
            <w:tcBorders>
              <w:left w:val="single" w:sz="6" w:space="0" w:color="BFBFBF"/>
              <w:bottom w:val="single" w:sz="6" w:space="0" w:color="BFBFBF"/>
            </w:tcBorders>
            <w:shd w:val="clear" w:color="auto" w:fill="9BBB59"/>
            <w:tcMar>
              <w:top w:w="-283" w:type="dxa"/>
              <w:left w:w="-283" w:type="dxa"/>
              <w:bottom w:w="-283" w:type="dxa"/>
              <w:right w:w="-283" w:type="dxa"/>
            </w:tcMar>
            <w:vAlign w:val="center"/>
          </w:tcPr>
          <w:p w:rsidR="002B7C6D" w:rsidRPr="000E7AC8" w:rsidRDefault="00E75F7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Área (ha)</w:t>
            </w:r>
          </w:p>
        </w:tc>
      </w:tr>
      <w:tr w:rsidR="002B7C6D" w:rsidRPr="000E7AC8" w:rsidTr="002B7C6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327" w:type="dxa"/>
            <w:vMerge w:val="restart"/>
            <w:tcBorders>
              <w:left w:val="nil"/>
              <w:righ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rPr>
                <w:rFonts w:ascii="Arial" w:eastAsia="Arial" w:hAnsi="Arial" w:cs="Arial"/>
                <w:sz w:val="24"/>
                <w:szCs w:val="24"/>
              </w:rPr>
            </w:pPr>
            <w:r w:rsidRPr="000E7AC8">
              <w:rPr>
                <w:rFonts w:ascii="Arial" w:eastAsia="Arial" w:hAnsi="Arial" w:cs="Arial"/>
                <w:b w:val="0"/>
                <w:sz w:val="24"/>
                <w:szCs w:val="24"/>
              </w:rPr>
              <w:t>Proteção Integral</w:t>
            </w:r>
          </w:p>
        </w:tc>
        <w:tc>
          <w:tcPr>
            <w:tcW w:w="2328" w:type="dxa"/>
            <w:tcBorders>
              <w:left w:val="single" w:sz="6" w:space="0" w:color="BFBFBF"/>
              <w:righ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Reserva Biológica (REBIO)</w:t>
            </w:r>
          </w:p>
        </w:tc>
        <w:tc>
          <w:tcPr>
            <w:tcW w:w="2328" w:type="dxa"/>
            <w:tcBorders>
              <w:lef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1</w:t>
            </w:r>
          </w:p>
        </w:tc>
        <w:tc>
          <w:tcPr>
            <w:tcW w:w="2328" w:type="dxa"/>
            <w:tcBorders>
              <w:left w:val="single" w:sz="6" w:space="0" w:color="BFBFBF"/>
              <w:right w:val="nil"/>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36.900,00</w:t>
            </w:r>
          </w:p>
        </w:tc>
      </w:tr>
      <w:tr w:rsidR="002B7C6D" w:rsidRPr="000E7AC8" w:rsidTr="002B7C6D">
        <w:trPr>
          <w:trHeight w:val="510"/>
          <w:jc w:val="center"/>
        </w:trPr>
        <w:tc>
          <w:tcPr>
            <w:cnfStyle w:val="001000000000" w:firstRow="0" w:lastRow="0" w:firstColumn="1" w:lastColumn="0" w:oddVBand="0" w:evenVBand="0" w:oddHBand="0" w:evenHBand="0" w:firstRowFirstColumn="0" w:firstRowLastColumn="0" w:lastRowFirstColumn="0" w:lastRowLastColumn="0"/>
            <w:tcW w:w="2327" w:type="dxa"/>
            <w:vMerge/>
            <w:tcBorders>
              <w:left w:val="nil"/>
              <w:right w:val="single" w:sz="6" w:space="0" w:color="BFBFBF"/>
            </w:tcBorders>
            <w:shd w:val="clear" w:color="auto" w:fill="FFFFFF"/>
            <w:tcMar>
              <w:top w:w="-283" w:type="dxa"/>
              <w:left w:w="-283" w:type="dxa"/>
              <w:bottom w:w="-283" w:type="dxa"/>
              <w:right w:w="-283" w:type="dxa"/>
            </w:tcMar>
            <w:vAlign w:val="center"/>
          </w:tcPr>
          <w:p w:rsidR="002B7C6D" w:rsidRPr="000E7AC8" w:rsidRDefault="002B7C6D">
            <w:pPr>
              <w:widowControl w:val="0"/>
              <w:pBdr>
                <w:top w:val="nil"/>
                <w:left w:val="nil"/>
                <w:bottom w:val="nil"/>
                <w:right w:val="nil"/>
                <w:between w:val="nil"/>
              </w:pBdr>
              <w:spacing w:line="276" w:lineRule="auto"/>
              <w:rPr>
                <w:rFonts w:ascii="Arial" w:eastAsia="Arial" w:hAnsi="Arial" w:cs="Arial"/>
                <w:sz w:val="24"/>
                <w:szCs w:val="24"/>
              </w:rPr>
            </w:pPr>
          </w:p>
        </w:tc>
        <w:tc>
          <w:tcPr>
            <w:tcW w:w="2328" w:type="dxa"/>
            <w:tcBorders>
              <w:left w:val="single" w:sz="6" w:space="0" w:color="BFBFBF"/>
              <w:bottom w:val="single" w:sz="6" w:space="0" w:color="BFBFBF"/>
              <w:righ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Parques Estaduais (PAREST)</w:t>
            </w:r>
          </w:p>
        </w:tc>
        <w:tc>
          <w:tcPr>
            <w:tcW w:w="2328" w:type="dxa"/>
            <w:tcBorders>
              <w:left w:val="single" w:sz="6" w:space="0" w:color="BFBFBF"/>
              <w:bottom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7</w:t>
            </w:r>
          </w:p>
        </w:tc>
        <w:tc>
          <w:tcPr>
            <w:tcW w:w="2328" w:type="dxa"/>
            <w:tcBorders>
              <w:left w:val="single" w:sz="6" w:space="0" w:color="BFBFBF"/>
              <w:bottom w:val="single" w:sz="6" w:space="0" w:color="BFBFBF"/>
              <w:right w:val="nil"/>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3.158.580,56</w:t>
            </w:r>
          </w:p>
        </w:tc>
      </w:tr>
      <w:tr w:rsidR="002B7C6D" w:rsidRPr="000E7AC8" w:rsidTr="002B7C6D">
        <w:trPr>
          <w:cnfStyle w:val="000000100000" w:firstRow="0" w:lastRow="0" w:firstColumn="0" w:lastColumn="0" w:oddVBand="0" w:evenVBand="0" w:oddHBand="1" w:evenHBand="0" w:firstRowFirstColumn="0" w:firstRowLastColumn="0" w:lastRowFirstColumn="0" w:lastRowLastColumn="0"/>
          <w:trHeight w:val="947"/>
          <w:jc w:val="center"/>
        </w:trPr>
        <w:tc>
          <w:tcPr>
            <w:cnfStyle w:val="001000000000" w:firstRow="0" w:lastRow="0" w:firstColumn="1" w:lastColumn="0" w:oddVBand="0" w:evenVBand="0" w:oddHBand="0" w:evenHBand="0" w:firstRowFirstColumn="0" w:firstRowLastColumn="0" w:lastRowFirstColumn="0" w:lastRowLastColumn="0"/>
            <w:tcW w:w="2327" w:type="dxa"/>
            <w:vMerge w:val="restart"/>
            <w:tcBorders>
              <w:left w:val="nil"/>
              <w:righ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rPr>
                <w:rFonts w:ascii="Arial" w:eastAsia="Arial" w:hAnsi="Arial" w:cs="Arial"/>
                <w:sz w:val="24"/>
                <w:szCs w:val="24"/>
              </w:rPr>
            </w:pPr>
            <w:r w:rsidRPr="000E7AC8">
              <w:rPr>
                <w:rFonts w:ascii="Arial" w:eastAsia="Arial" w:hAnsi="Arial" w:cs="Arial"/>
                <w:b w:val="0"/>
                <w:sz w:val="24"/>
                <w:szCs w:val="24"/>
              </w:rPr>
              <w:t>Uso Sustentável</w:t>
            </w:r>
          </w:p>
        </w:tc>
        <w:tc>
          <w:tcPr>
            <w:tcW w:w="2328" w:type="dxa"/>
            <w:tcBorders>
              <w:left w:val="single" w:sz="6" w:space="0" w:color="BFBFBF"/>
              <w:right w:val="single" w:sz="6" w:space="0" w:color="BFBFBF"/>
            </w:tcBorders>
            <w:shd w:val="clear" w:color="auto" w:fill="FFFFFF"/>
            <w:tcMar>
              <w:top w:w="-283" w:type="dxa"/>
              <w:left w:w="-283" w:type="dxa"/>
              <w:bottom w:w="-283" w:type="dxa"/>
              <w:right w:w="-283" w:type="dxa"/>
            </w:tcMar>
            <w:vAlign w:val="center"/>
          </w:tcPr>
          <w:p w:rsidR="002B7C6D" w:rsidRPr="000E7AC8" w:rsidRDefault="00E75F7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Reservas de Desenvolvimento Sustentável (RDS)</w:t>
            </w:r>
          </w:p>
        </w:tc>
        <w:tc>
          <w:tcPr>
            <w:tcW w:w="2328" w:type="dxa"/>
            <w:tcBorders>
              <w:lef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16</w:t>
            </w:r>
          </w:p>
        </w:tc>
        <w:tc>
          <w:tcPr>
            <w:tcW w:w="2328" w:type="dxa"/>
            <w:tcBorders>
              <w:left w:val="single" w:sz="6" w:space="0" w:color="BFBFBF"/>
              <w:right w:val="nil"/>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10.167.869,72</w:t>
            </w:r>
          </w:p>
        </w:tc>
      </w:tr>
      <w:tr w:rsidR="002B7C6D" w:rsidRPr="000E7AC8" w:rsidTr="002B7C6D">
        <w:trPr>
          <w:trHeight w:val="902"/>
          <w:jc w:val="center"/>
        </w:trPr>
        <w:tc>
          <w:tcPr>
            <w:cnfStyle w:val="001000000000" w:firstRow="0" w:lastRow="0" w:firstColumn="1" w:lastColumn="0" w:oddVBand="0" w:evenVBand="0" w:oddHBand="0" w:evenHBand="0" w:firstRowFirstColumn="0" w:firstRowLastColumn="0" w:lastRowFirstColumn="0" w:lastRowLastColumn="0"/>
            <w:tcW w:w="2327" w:type="dxa"/>
            <w:vMerge/>
            <w:tcBorders>
              <w:left w:val="nil"/>
              <w:right w:val="single" w:sz="6" w:space="0" w:color="BFBFBF"/>
            </w:tcBorders>
            <w:shd w:val="clear" w:color="auto" w:fill="FFFFFF"/>
            <w:tcMar>
              <w:top w:w="-283" w:type="dxa"/>
              <w:left w:w="-283" w:type="dxa"/>
              <w:bottom w:w="-283" w:type="dxa"/>
              <w:right w:w="-283" w:type="dxa"/>
            </w:tcMar>
            <w:vAlign w:val="center"/>
          </w:tcPr>
          <w:p w:rsidR="002B7C6D" w:rsidRPr="000E7AC8" w:rsidRDefault="002B7C6D">
            <w:pPr>
              <w:widowControl w:val="0"/>
              <w:pBdr>
                <w:top w:val="nil"/>
                <w:left w:val="nil"/>
                <w:bottom w:val="nil"/>
                <w:right w:val="nil"/>
                <w:between w:val="nil"/>
              </w:pBdr>
              <w:spacing w:line="276" w:lineRule="auto"/>
              <w:rPr>
                <w:rFonts w:ascii="Arial" w:eastAsia="Arial" w:hAnsi="Arial" w:cs="Arial"/>
                <w:sz w:val="24"/>
                <w:szCs w:val="24"/>
              </w:rPr>
            </w:pPr>
          </w:p>
        </w:tc>
        <w:tc>
          <w:tcPr>
            <w:tcW w:w="2328" w:type="dxa"/>
            <w:tcBorders>
              <w:left w:val="single" w:sz="6" w:space="0" w:color="BFBFBF"/>
              <w:right w:val="single" w:sz="6" w:space="0" w:color="BFBFBF"/>
            </w:tcBorders>
            <w:shd w:val="clear" w:color="auto" w:fill="FFFFFF"/>
            <w:tcMar>
              <w:top w:w="-283" w:type="dxa"/>
              <w:left w:w="-283" w:type="dxa"/>
              <w:bottom w:w="-283" w:type="dxa"/>
              <w:right w:w="-283" w:type="dxa"/>
            </w:tcMar>
            <w:vAlign w:val="center"/>
          </w:tcPr>
          <w:p w:rsidR="002B7C6D" w:rsidRPr="000E7AC8" w:rsidRDefault="00E75F7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Reservas Extrativistas (RESEX)</w:t>
            </w:r>
          </w:p>
        </w:tc>
        <w:tc>
          <w:tcPr>
            <w:tcW w:w="2328" w:type="dxa"/>
            <w:tcBorders>
              <w:lef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4</w:t>
            </w:r>
          </w:p>
        </w:tc>
        <w:tc>
          <w:tcPr>
            <w:tcW w:w="2328" w:type="dxa"/>
            <w:tcBorders>
              <w:left w:val="single" w:sz="6" w:space="0" w:color="BFBFBF"/>
              <w:right w:val="nil"/>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871.206,29</w:t>
            </w:r>
          </w:p>
        </w:tc>
      </w:tr>
      <w:tr w:rsidR="002B7C6D" w:rsidRPr="000E7AC8" w:rsidTr="002B7C6D">
        <w:trPr>
          <w:cnfStyle w:val="000000100000" w:firstRow="0" w:lastRow="0" w:firstColumn="0" w:lastColumn="0" w:oddVBand="0" w:evenVBand="0" w:oddHBand="1" w:evenHBand="0" w:firstRowFirstColumn="0" w:firstRowLastColumn="0" w:lastRowFirstColumn="0" w:lastRowLastColumn="0"/>
          <w:trHeight w:val="902"/>
          <w:jc w:val="center"/>
        </w:trPr>
        <w:tc>
          <w:tcPr>
            <w:cnfStyle w:val="001000000000" w:firstRow="0" w:lastRow="0" w:firstColumn="1" w:lastColumn="0" w:oddVBand="0" w:evenVBand="0" w:oddHBand="0" w:evenHBand="0" w:firstRowFirstColumn="0" w:firstRowLastColumn="0" w:lastRowFirstColumn="0" w:lastRowLastColumn="0"/>
            <w:tcW w:w="2327" w:type="dxa"/>
            <w:vMerge/>
            <w:tcBorders>
              <w:left w:val="nil"/>
              <w:right w:val="single" w:sz="6" w:space="0" w:color="BFBFBF"/>
            </w:tcBorders>
            <w:shd w:val="clear" w:color="auto" w:fill="FFFFFF"/>
            <w:tcMar>
              <w:top w:w="-283" w:type="dxa"/>
              <w:left w:w="-283" w:type="dxa"/>
              <w:bottom w:w="-283" w:type="dxa"/>
              <w:right w:w="-283" w:type="dxa"/>
            </w:tcMar>
            <w:vAlign w:val="center"/>
          </w:tcPr>
          <w:p w:rsidR="002B7C6D" w:rsidRPr="000E7AC8" w:rsidRDefault="002B7C6D">
            <w:pPr>
              <w:widowControl w:val="0"/>
              <w:pBdr>
                <w:top w:val="nil"/>
                <w:left w:val="nil"/>
                <w:bottom w:val="nil"/>
                <w:right w:val="nil"/>
                <w:between w:val="nil"/>
              </w:pBdr>
              <w:spacing w:line="276" w:lineRule="auto"/>
              <w:rPr>
                <w:rFonts w:ascii="Arial" w:eastAsia="Arial" w:hAnsi="Arial" w:cs="Arial"/>
                <w:sz w:val="24"/>
                <w:szCs w:val="24"/>
              </w:rPr>
            </w:pPr>
          </w:p>
        </w:tc>
        <w:tc>
          <w:tcPr>
            <w:tcW w:w="2328" w:type="dxa"/>
            <w:tcBorders>
              <w:left w:val="single" w:sz="6" w:space="0" w:color="BFBFBF"/>
              <w:right w:val="single" w:sz="6" w:space="0" w:color="BFBFBF"/>
            </w:tcBorders>
            <w:shd w:val="clear" w:color="auto" w:fill="FFFFFF"/>
            <w:tcMar>
              <w:top w:w="-283" w:type="dxa"/>
              <w:left w:w="-283" w:type="dxa"/>
              <w:bottom w:w="-283" w:type="dxa"/>
              <w:right w:w="-283" w:type="dxa"/>
            </w:tcMar>
            <w:vAlign w:val="center"/>
          </w:tcPr>
          <w:p w:rsidR="002B7C6D" w:rsidRPr="000E7AC8" w:rsidRDefault="00E75F7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Áreas de Preservação Ambiental (APA)</w:t>
            </w:r>
          </w:p>
        </w:tc>
        <w:tc>
          <w:tcPr>
            <w:tcW w:w="2328" w:type="dxa"/>
            <w:tcBorders>
              <w:lef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6</w:t>
            </w:r>
          </w:p>
        </w:tc>
        <w:tc>
          <w:tcPr>
            <w:tcW w:w="2328" w:type="dxa"/>
            <w:tcBorders>
              <w:left w:val="single" w:sz="6" w:space="0" w:color="BFBFBF"/>
              <w:right w:val="nil"/>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1.676.601,46</w:t>
            </w:r>
            <w:r w:rsidRPr="000E7AC8">
              <w:rPr>
                <w:rFonts w:ascii="Arial" w:eastAsia="Arial" w:hAnsi="Arial" w:cs="Arial"/>
                <w:sz w:val="24"/>
                <w:szCs w:val="24"/>
              </w:rPr>
              <w:t>‬</w:t>
            </w:r>
          </w:p>
        </w:tc>
      </w:tr>
      <w:tr w:rsidR="002B7C6D" w:rsidRPr="000E7AC8" w:rsidTr="002B7C6D">
        <w:trPr>
          <w:trHeight w:val="656"/>
          <w:jc w:val="center"/>
        </w:trPr>
        <w:tc>
          <w:tcPr>
            <w:cnfStyle w:val="001000000000" w:firstRow="0" w:lastRow="0" w:firstColumn="1" w:lastColumn="0" w:oddVBand="0" w:evenVBand="0" w:oddHBand="0" w:evenHBand="0" w:firstRowFirstColumn="0" w:firstRowLastColumn="0" w:lastRowFirstColumn="0" w:lastRowLastColumn="0"/>
            <w:tcW w:w="2327" w:type="dxa"/>
            <w:vMerge/>
            <w:tcBorders>
              <w:left w:val="nil"/>
              <w:right w:val="single" w:sz="6" w:space="0" w:color="BFBFBF"/>
            </w:tcBorders>
            <w:shd w:val="clear" w:color="auto" w:fill="FFFFFF"/>
            <w:tcMar>
              <w:top w:w="-283" w:type="dxa"/>
              <w:left w:w="-283" w:type="dxa"/>
              <w:bottom w:w="-283" w:type="dxa"/>
              <w:right w:w="-283" w:type="dxa"/>
            </w:tcMar>
            <w:vAlign w:val="center"/>
          </w:tcPr>
          <w:p w:rsidR="002B7C6D" w:rsidRPr="000E7AC8" w:rsidRDefault="002B7C6D">
            <w:pPr>
              <w:widowControl w:val="0"/>
              <w:pBdr>
                <w:top w:val="nil"/>
                <w:left w:val="nil"/>
                <w:bottom w:val="nil"/>
                <w:right w:val="nil"/>
                <w:between w:val="nil"/>
              </w:pBdr>
              <w:spacing w:line="276" w:lineRule="auto"/>
              <w:rPr>
                <w:rFonts w:ascii="Arial" w:eastAsia="Arial" w:hAnsi="Arial" w:cs="Arial"/>
                <w:sz w:val="24"/>
                <w:szCs w:val="24"/>
              </w:rPr>
            </w:pPr>
          </w:p>
        </w:tc>
        <w:tc>
          <w:tcPr>
            <w:tcW w:w="2328" w:type="dxa"/>
            <w:tcBorders>
              <w:left w:val="single" w:sz="6" w:space="0" w:color="BFBFBF"/>
              <w:bottom w:val="single" w:sz="6" w:space="0" w:color="BFBFBF"/>
              <w:right w:val="single" w:sz="6" w:space="0" w:color="BFBFBF"/>
            </w:tcBorders>
            <w:shd w:val="clear" w:color="auto" w:fill="FFFFFF"/>
            <w:tcMar>
              <w:top w:w="-283" w:type="dxa"/>
              <w:left w:w="-283" w:type="dxa"/>
              <w:bottom w:w="-283" w:type="dxa"/>
              <w:right w:w="-283" w:type="dxa"/>
            </w:tcMar>
            <w:vAlign w:val="center"/>
          </w:tcPr>
          <w:p w:rsidR="002B7C6D" w:rsidRPr="000E7AC8" w:rsidRDefault="00E75F7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Florestas Estaduais (FLORESTA)</w:t>
            </w:r>
          </w:p>
        </w:tc>
        <w:tc>
          <w:tcPr>
            <w:tcW w:w="2328" w:type="dxa"/>
            <w:tcBorders>
              <w:lef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8</w:t>
            </w:r>
          </w:p>
        </w:tc>
        <w:tc>
          <w:tcPr>
            <w:tcW w:w="2328" w:type="dxa"/>
            <w:tcBorders>
              <w:left w:val="single" w:sz="6" w:space="0" w:color="BFBFBF"/>
              <w:right w:val="nil"/>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E7AC8">
              <w:rPr>
                <w:rFonts w:ascii="Arial" w:eastAsia="Arial" w:hAnsi="Arial" w:cs="Arial"/>
                <w:sz w:val="24"/>
                <w:szCs w:val="24"/>
              </w:rPr>
              <w:t>2.607.622,52</w:t>
            </w:r>
          </w:p>
        </w:tc>
      </w:tr>
      <w:tr w:rsidR="002B7C6D" w:rsidRPr="000E7AC8" w:rsidTr="002B7C6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655" w:type="dxa"/>
            <w:gridSpan w:val="2"/>
            <w:tcBorders>
              <w:left w:val="nil"/>
              <w:right w:val="single" w:sz="6" w:space="0" w:color="BFBFBF"/>
            </w:tcBorders>
            <w:shd w:val="clear" w:color="auto" w:fill="FFFFFF"/>
            <w:tcMar>
              <w:top w:w="-283" w:type="dxa"/>
              <w:left w:w="-283" w:type="dxa"/>
              <w:bottom w:w="-283" w:type="dxa"/>
              <w:right w:w="-283" w:type="dxa"/>
            </w:tcMar>
            <w:vAlign w:val="center"/>
          </w:tcPr>
          <w:p w:rsidR="002B7C6D" w:rsidRPr="000E7AC8" w:rsidRDefault="00E75F7D">
            <w:pPr>
              <w:jc w:val="center"/>
              <w:rPr>
                <w:rFonts w:ascii="Arial" w:eastAsia="Arial" w:hAnsi="Arial" w:cs="Arial"/>
                <w:sz w:val="24"/>
                <w:szCs w:val="24"/>
              </w:rPr>
            </w:pPr>
            <w:r w:rsidRPr="000E7AC8">
              <w:rPr>
                <w:rFonts w:ascii="Arial" w:eastAsia="Arial" w:hAnsi="Arial" w:cs="Arial"/>
                <w:sz w:val="24"/>
                <w:szCs w:val="24"/>
              </w:rPr>
              <w:t>Total</w:t>
            </w:r>
          </w:p>
        </w:tc>
        <w:tc>
          <w:tcPr>
            <w:tcW w:w="2328" w:type="dxa"/>
            <w:tcBorders>
              <w:left w:val="single" w:sz="6" w:space="0" w:color="BFBFBF"/>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sidRPr="000E7AC8">
              <w:rPr>
                <w:rFonts w:ascii="Arial" w:eastAsia="Arial" w:hAnsi="Arial" w:cs="Arial"/>
                <w:b/>
                <w:sz w:val="24"/>
                <w:szCs w:val="24"/>
              </w:rPr>
              <w:t>42</w:t>
            </w:r>
          </w:p>
        </w:tc>
        <w:tc>
          <w:tcPr>
            <w:tcW w:w="2328" w:type="dxa"/>
            <w:tcBorders>
              <w:left w:val="single" w:sz="6" w:space="0" w:color="BFBFBF"/>
              <w:right w:val="nil"/>
            </w:tcBorders>
            <w:shd w:val="clear" w:color="auto" w:fill="FFFFFF"/>
            <w:tcMar>
              <w:top w:w="-283" w:type="dxa"/>
              <w:left w:w="-283" w:type="dxa"/>
              <w:bottom w:w="-283" w:type="dxa"/>
              <w:right w:w="-283" w:type="dxa"/>
            </w:tcMar>
            <w:vAlign w:val="center"/>
          </w:tcPr>
          <w:p w:rsidR="002B7C6D" w:rsidRPr="000E7AC8" w:rsidRDefault="00E75F7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sidRPr="000E7AC8">
              <w:rPr>
                <w:rFonts w:ascii="Arial" w:eastAsia="Arial" w:hAnsi="Arial" w:cs="Arial"/>
                <w:b/>
                <w:sz w:val="24"/>
                <w:szCs w:val="24"/>
              </w:rPr>
              <w:t>18.518.779,55</w:t>
            </w:r>
          </w:p>
        </w:tc>
      </w:tr>
    </w:tbl>
    <w:p w:rsidR="002B7C6D" w:rsidRPr="000E7AC8" w:rsidRDefault="00E75F7D">
      <w:pPr>
        <w:tabs>
          <w:tab w:val="left" w:pos="8080"/>
        </w:tabs>
        <w:rPr>
          <w:rFonts w:ascii="Arial" w:eastAsia="Arial" w:hAnsi="Arial" w:cs="Arial"/>
        </w:rPr>
      </w:pPr>
      <w:r w:rsidRPr="000E7AC8">
        <w:rPr>
          <w:rFonts w:ascii="Arial" w:eastAsia="Arial" w:hAnsi="Arial" w:cs="Arial"/>
        </w:rPr>
        <w:t>Fonte: Sema (2024)</w:t>
      </w:r>
    </w:p>
    <w:p w:rsidR="002B7C6D" w:rsidRPr="000E7AC8" w:rsidRDefault="002B7C6D">
      <w:pPr>
        <w:spacing w:line="360" w:lineRule="auto"/>
        <w:ind w:firstLine="709"/>
        <w:jc w:val="both"/>
        <w:rPr>
          <w:rFonts w:ascii="Arial" w:eastAsia="Arial" w:hAnsi="Arial" w:cs="Arial"/>
          <w:sz w:val="24"/>
          <w:szCs w:val="24"/>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As UCs estaduais estão localizadas em 39 municípios, tendo como área total 18.518.779,55 ha, o que corresponde a 12% do território do Amazonas (Figura 3). </w:t>
      </w:r>
    </w:p>
    <w:p w:rsidR="002B7C6D" w:rsidRPr="000E7AC8" w:rsidRDefault="00E75F7D">
      <w:pPr>
        <w:rPr>
          <w:rFonts w:ascii="Arial" w:eastAsia="Arial" w:hAnsi="Arial" w:cs="Arial"/>
        </w:rPr>
      </w:pPr>
      <w:r w:rsidRPr="000E7AC8">
        <w:rPr>
          <w:rFonts w:ascii="Arial" w:hAnsi="Arial" w:cs="Arial"/>
        </w:rPr>
        <w:br w:type="page"/>
      </w:r>
    </w:p>
    <w:p w:rsidR="00033571" w:rsidRPr="000E7AC8" w:rsidRDefault="00033571" w:rsidP="00033571">
      <w:pPr>
        <w:pStyle w:val="Legenda"/>
        <w:keepNext/>
        <w:jc w:val="both"/>
        <w:rPr>
          <w:rFonts w:ascii="Arial" w:hAnsi="Arial" w:cs="Arial"/>
          <w:i w:val="0"/>
          <w:color w:val="auto"/>
        </w:rPr>
      </w:pPr>
      <w:bookmarkStart w:id="19" w:name="_Toc180053434"/>
      <w:bookmarkStart w:id="20" w:name="_Toc180054215"/>
      <w:bookmarkStart w:id="21" w:name="_Toc180139782"/>
      <w:r w:rsidRPr="000E7AC8">
        <w:rPr>
          <w:rFonts w:ascii="Arial" w:hAnsi="Arial" w:cs="Arial"/>
          <w:i w:val="0"/>
          <w:color w:val="auto"/>
        </w:rPr>
        <w:lastRenderedPageBreak/>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3</w:t>
      </w:r>
      <w:r w:rsidRPr="000E7AC8">
        <w:rPr>
          <w:rFonts w:ascii="Arial" w:hAnsi="Arial" w:cs="Arial"/>
          <w:i w:val="0"/>
          <w:color w:val="auto"/>
        </w:rPr>
        <w:fldChar w:fldCharType="end"/>
      </w:r>
      <w:r w:rsidRPr="000E7AC8">
        <w:rPr>
          <w:rFonts w:ascii="Arial" w:hAnsi="Arial" w:cs="Arial"/>
          <w:i w:val="0"/>
          <w:color w:val="auto"/>
        </w:rPr>
        <w:t>. Mapa das Unidades de Conservação Estaduais do Amazonas.</w:t>
      </w:r>
      <w:bookmarkEnd w:id="19"/>
      <w:bookmarkEnd w:id="20"/>
      <w:bookmarkEnd w:id="21"/>
    </w:p>
    <w:p w:rsidR="002B7C6D" w:rsidRPr="000E7AC8" w:rsidRDefault="00E75F7D">
      <w:pPr>
        <w:spacing w:line="360" w:lineRule="auto"/>
        <w:jc w:val="both"/>
        <w:rPr>
          <w:rFonts w:ascii="Arial" w:eastAsia="Arial" w:hAnsi="Arial" w:cs="Arial"/>
          <w:b/>
          <w:color w:val="38761D"/>
          <w:sz w:val="28"/>
          <w:szCs w:val="28"/>
        </w:rPr>
      </w:pPr>
      <w:r w:rsidRPr="000E7AC8">
        <w:rPr>
          <w:rFonts w:ascii="Arial" w:eastAsia="Arial" w:hAnsi="Arial" w:cs="Arial"/>
          <w:noProof/>
          <w:sz w:val="24"/>
          <w:szCs w:val="24"/>
        </w:rPr>
        <w:drawing>
          <wp:inline distT="114300" distB="114300" distL="114300" distR="114300" wp14:anchorId="192E96C6" wp14:editId="2B5AECC4">
            <wp:extent cx="5662739" cy="4006940"/>
            <wp:effectExtent l="0" t="0" r="0" b="0"/>
            <wp:docPr id="160312999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5662739" cy="4006940"/>
                    </a:xfrm>
                    <a:prstGeom prst="rect">
                      <a:avLst/>
                    </a:prstGeom>
                    <a:ln/>
                  </pic:spPr>
                </pic:pic>
              </a:graphicData>
            </a:graphic>
          </wp:inline>
        </w:drawing>
      </w:r>
    </w:p>
    <w:p w:rsidR="002B7C6D" w:rsidRPr="000E7AC8" w:rsidRDefault="002B7C6D">
      <w:pPr>
        <w:spacing w:line="360" w:lineRule="auto"/>
        <w:jc w:val="both"/>
        <w:rPr>
          <w:rFonts w:ascii="Arial" w:eastAsia="Arial" w:hAnsi="Arial" w:cs="Arial"/>
          <w:b/>
          <w:color w:val="38761D"/>
          <w:sz w:val="28"/>
          <w:szCs w:val="28"/>
        </w:rPr>
      </w:pPr>
    </w:p>
    <w:p w:rsidR="002B7C6D" w:rsidRPr="000E7AC8" w:rsidRDefault="00E75F7D">
      <w:pPr>
        <w:pStyle w:val="Ttulo2"/>
        <w:rPr>
          <w:rFonts w:ascii="Arial" w:eastAsia="Arial" w:hAnsi="Arial" w:cs="Arial"/>
          <w:color w:val="000000"/>
          <w:sz w:val="20"/>
          <w:szCs w:val="20"/>
        </w:rPr>
      </w:pPr>
      <w:bookmarkStart w:id="22" w:name="_Toc180138738"/>
      <w:r w:rsidRPr="000E7AC8">
        <w:rPr>
          <w:rFonts w:ascii="Arial" w:eastAsia="Arial" w:hAnsi="Arial" w:cs="Arial"/>
          <w:b/>
          <w:color w:val="38761D"/>
          <w:sz w:val="28"/>
          <w:szCs w:val="28"/>
        </w:rPr>
        <w:t>3.3. FLORESTAS PÚBLICAS ESTADUAIS DESTINADAS PARA USO COMUNITÁRIO</w:t>
      </w:r>
      <w:bookmarkEnd w:id="22"/>
    </w:p>
    <w:p w:rsidR="002B7C6D" w:rsidRPr="000E7AC8" w:rsidRDefault="002B7C6D">
      <w:pPr>
        <w:rPr>
          <w:rFonts w:ascii="Arial" w:eastAsia="Arial" w:hAnsi="Arial" w:cs="Arial"/>
        </w:rPr>
      </w:pPr>
    </w:p>
    <w:p w:rsidR="002B7C6D" w:rsidRPr="000E7AC8" w:rsidRDefault="00C81FEE">
      <w:pPr>
        <w:spacing w:line="360" w:lineRule="auto"/>
        <w:ind w:firstLine="709"/>
        <w:jc w:val="both"/>
        <w:rPr>
          <w:rFonts w:ascii="Arial" w:eastAsia="Arial" w:hAnsi="Arial" w:cs="Arial"/>
          <w:sz w:val="24"/>
          <w:szCs w:val="24"/>
        </w:rPr>
      </w:pPr>
      <w:r>
        <w:rPr>
          <w:rFonts w:ascii="Arial" w:eastAsia="Arial" w:hAnsi="Arial" w:cs="Arial"/>
          <w:sz w:val="24"/>
          <w:szCs w:val="24"/>
        </w:rPr>
        <w:t>De acordo com a Lei nº</w:t>
      </w:r>
      <w:r w:rsidR="00E75F7D" w:rsidRPr="000E7AC8">
        <w:rPr>
          <w:rFonts w:ascii="Arial" w:eastAsia="Arial" w:hAnsi="Arial" w:cs="Arial"/>
          <w:sz w:val="24"/>
          <w:szCs w:val="24"/>
        </w:rPr>
        <w:t xml:space="preserve"> 4.415 de 29 de dezembro de 2016, art. 6º, nos incisos I, II e III, a destinação de florestas públicas ocupadas, utilizadas ou de interesse de comunidades locais será identificada para a destinação, pelos órgãos competentes, antes da realização das concessões florestais, respectivamente por meio de:</w:t>
      </w:r>
    </w:p>
    <w:p w:rsidR="002B7C6D" w:rsidRPr="000E7AC8" w:rsidRDefault="00E75F7D">
      <w:pPr>
        <w:numPr>
          <w:ilvl w:val="0"/>
          <w:numId w:val="1"/>
        </w:numPr>
        <w:pBdr>
          <w:top w:val="nil"/>
          <w:left w:val="nil"/>
          <w:bottom w:val="nil"/>
          <w:right w:val="nil"/>
          <w:between w:val="nil"/>
        </w:pBdr>
        <w:spacing w:line="360" w:lineRule="auto"/>
        <w:ind w:left="993" w:hanging="283"/>
        <w:jc w:val="both"/>
        <w:rPr>
          <w:rFonts w:ascii="Arial" w:eastAsia="Arial" w:hAnsi="Arial" w:cs="Arial"/>
          <w:color w:val="000000"/>
          <w:sz w:val="24"/>
          <w:szCs w:val="24"/>
        </w:rPr>
      </w:pPr>
      <w:r w:rsidRPr="000E7AC8">
        <w:rPr>
          <w:rFonts w:ascii="Arial" w:eastAsia="Arial" w:hAnsi="Arial" w:cs="Arial"/>
          <w:color w:val="000000"/>
          <w:sz w:val="24"/>
          <w:szCs w:val="24"/>
        </w:rPr>
        <w:t xml:space="preserve">Criação de Reservas </w:t>
      </w:r>
      <w:r w:rsidRPr="000E7AC8">
        <w:rPr>
          <w:rFonts w:ascii="Arial" w:eastAsia="Arial" w:hAnsi="Arial" w:cs="Arial"/>
          <w:sz w:val="24"/>
          <w:szCs w:val="24"/>
        </w:rPr>
        <w:t>E</w:t>
      </w:r>
      <w:r w:rsidRPr="000E7AC8">
        <w:rPr>
          <w:rFonts w:ascii="Arial" w:eastAsia="Arial" w:hAnsi="Arial" w:cs="Arial"/>
          <w:color w:val="000000"/>
          <w:sz w:val="24"/>
          <w:szCs w:val="24"/>
        </w:rPr>
        <w:t xml:space="preserve">xtrativistas e </w:t>
      </w:r>
      <w:r w:rsidRPr="000E7AC8">
        <w:rPr>
          <w:rFonts w:ascii="Arial" w:eastAsia="Arial" w:hAnsi="Arial" w:cs="Arial"/>
          <w:sz w:val="24"/>
          <w:szCs w:val="24"/>
        </w:rPr>
        <w:t>R</w:t>
      </w:r>
      <w:r w:rsidRPr="000E7AC8">
        <w:rPr>
          <w:rFonts w:ascii="Arial" w:eastAsia="Arial" w:hAnsi="Arial" w:cs="Arial"/>
          <w:color w:val="000000"/>
          <w:sz w:val="24"/>
          <w:szCs w:val="24"/>
        </w:rPr>
        <w:t xml:space="preserve">eservas de </w:t>
      </w:r>
      <w:r w:rsidRPr="000E7AC8">
        <w:rPr>
          <w:rFonts w:ascii="Arial" w:eastAsia="Arial" w:hAnsi="Arial" w:cs="Arial"/>
          <w:sz w:val="24"/>
          <w:szCs w:val="24"/>
        </w:rPr>
        <w:t>D</w:t>
      </w:r>
      <w:r w:rsidRPr="000E7AC8">
        <w:rPr>
          <w:rFonts w:ascii="Arial" w:eastAsia="Arial" w:hAnsi="Arial" w:cs="Arial"/>
          <w:color w:val="000000"/>
          <w:sz w:val="24"/>
          <w:szCs w:val="24"/>
        </w:rPr>
        <w:t xml:space="preserve">esenvolvimento </w:t>
      </w:r>
      <w:r w:rsidRPr="000E7AC8">
        <w:rPr>
          <w:rFonts w:ascii="Arial" w:eastAsia="Arial" w:hAnsi="Arial" w:cs="Arial"/>
          <w:sz w:val="24"/>
          <w:szCs w:val="24"/>
        </w:rPr>
        <w:t>S</w:t>
      </w:r>
      <w:r w:rsidRPr="000E7AC8">
        <w:rPr>
          <w:rFonts w:ascii="Arial" w:eastAsia="Arial" w:hAnsi="Arial" w:cs="Arial"/>
          <w:color w:val="000000"/>
          <w:sz w:val="24"/>
          <w:szCs w:val="24"/>
        </w:rPr>
        <w:t>ustentável, observados os requisitos prev</w:t>
      </w:r>
      <w:r w:rsidR="00C81FEE">
        <w:rPr>
          <w:rFonts w:ascii="Arial" w:eastAsia="Arial" w:hAnsi="Arial" w:cs="Arial"/>
          <w:color w:val="000000"/>
          <w:sz w:val="24"/>
          <w:szCs w:val="24"/>
        </w:rPr>
        <w:t xml:space="preserve">istos da Lei Complementar nº 53, </w:t>
      </w:r>
      <w:r w:rsidRPr="000E7AC8">
        <w:rPr>
          <w:rFonts w:ascii="Arial" w:eastAsia="Arial" w:hAnsi="Arial" w:cs="Arial"/>
          <w:color w:val="000000"/>
          <w:sz w:val="24"/>
          <w:szCs w:val="24"/>
        </w:rPr>
        <w:t>de 05 de junho de 2007;</w:t>
      </w:r>
    </w:p>
    <w:p w:rsidR="002B7C6D" w:rsidRPr="000E7AC8" w:rsidRDefault="00E75F7D">
      <w:pPr>
        <w:numPr>
          <w:ilvl w:val="0"/>
          <w:numId w:val="1"/>
        </w:numPr>
        <w:pBdr>
          <w:top w:val="nil"/>
          <w:left w:val="nil"/>
          <w:bottom w:val="nil"/>
          <w:right w:val="nil"/>
          <w:between w:val="nil"/>
        </w:pBdr>
        <w:spacing w:line="360" w:lineRule="auto"/>
        <w:ind w:left="993" w:hanging="283"/>
        <w:jc w:val="both"/>
        <w:rPr>
          <w:rFonts w:ascii="Arial" w:eastAsia="Arial" w:hAnsi="Arial" w:cs="Arial"/>
          <w:color w:val="000000"/>
          <w:sz w:val="24"/>
          <w:szCs w:val="24"/>
        </w:rPr>
      </w:pPr>
      <w:r w:rsidRPr="000E7AC8">
        <w:rPr>
          <w:rFonts w:ascii="Arial" w:eastAsia="Arial" w:hAnsi="Arial" w:cs="Arial"/>
          <w:color w:val="000000"/>
          <w:sz w:val="24"/>
          <w:szCs w:val="24"/>
        </w:rPr>
        <w:lastRenderedPageBreak/>
        <w:t>Destinação de Florestas de Produção para extratores de pequena escala ou outros similares, nos termos dos artigos 134 e 172 da Constituição Estadual, mediante regulamentação específica a ser expedida pelo Estado; e,</w:t>
      </w:r>
    </w:p>
    <w:p w:rsidR="002B7C6D" w:rsidRPr="000E7AC8" w:rsidRDefault="00E75F7D">
      <w:pPr>
        <w:numPr>
          <w:ilvl w:val="0"/>
          <w:numId w:val="1"/>
        </w:numPr>
        <w:pBdr>
          <w:top w:val="nil"/>
          <w:left w:val="nil"/>
          <w:bottom w:val="nil"/>
          <w:right w:val="nil"/>
          <w:between w:val="nil"/>
        </w:pBdr>
        <w:spacing w:line="360" w:lineRule="auto"/>
        <w:ind w:left="993" w:hanging="283"/>
        <w:jc w:val="both"/>
        <w:rPr>
          <w:rFonts w:ascii="Arial" w:eastAsia="Arial" w:hAnsi="Arial" w:cs="Arial"/>
          <w:color w:val="000000"/>
          <w:sz w:val="24"/>
          <w:szCs w:val="24"/>
        </w:rPr>
      </w:pPr>
      <w:r w:rsidRPr="000E7AC8">
        <w:rPr>
          <w:rFonts w:ascii="Arial" w:eastAsia="Arial" w:hAnsi="Arial" w:cs="Arial"/>
          <w:color w:val="000000"/>
          <w:sz w:val="24"/>
          <w:szCs w:val="24"/>
        </w:rPr>
        <w:t>Outras formas previstas na lei.</w:t>
      </w:r>
    </w:p>
    <w:p w:rsidR="00222F5E" w:rsidRPr="000E7AC8" w:rsidRDefault="00222F5E" w:rsidP="00222F5E">
      <w:pPr>
        <w:pBdr>
          <w:top w:val="nil"/>
          <w:left w:val="nil"/>
          <w:bottom w:val="nil"/>
          <w:right w:val="nil"/>
          <w:between w:val="nil"/>
        </w:pBdr>
        <w:spacing w:line="360" w:lineRule="auto"/>
        <w:ind w:left="993"/>
        <w:jc w:val="both"/>
        <w:rPr>
          <w:rFonts w:ascii="Arial" w:eastAsia="Arial" w:hAnsi="Arial" w:cs="Arial"/>
          <w:color w:val="000000"/>
          <w:sz w:val="24"/>
          <w:szCs w:val="24"/>
        </w:rPr>
      </w:pPr>
    </w:p>
    <w:p w:rsidR="002B7C6D" w:rsidRPr="000E7AC8" w:rsidRDefault="00E75F7D">
      <w:pPr>
        <w:pStyle w:val="Ttulo2"/>
        <w:numPr>
          <w:ilvl w:val="1"/>
          <w:numId w:val="4"/>
        </w:numPr>
        <w:rPr>
          <w:rFonts w:ascii="Arial" w:eastAsia="Arial" w:hAnsi="Arial" w:cs="Arial"/>
          <w:b/>
          <w:color w:val="38761D"/>
          <w:sz w:val="28"/>
          <w:szCs w:val="28"/>
        </w:rPr>
      </w:pPr>
      <w:bookmarkStart w:id="23" w:name="_Toc180138739"/>
      <w:r w:rsidRPr="000E7AC8">
        <w:rPr>
          <w:rFonts w:ascii="Arial" w:eastAsia="Arial" w:hAnsi="Arial" w:cs="Arial"/>
          <w:b/>
          <w:color w:val="38761D"/>
          <w:sz w:val="28"/>
          <w:szCs w:val="28"/>
        </w:rPr>
        <w:t>SELEÇÃO DAS ÁREAS PARA CONCESSÕES FLORESTAIS</w:t>
      </w:r>
      <w:bookmarkEnd w:id="23"/>
    </w:p>
    <w:p w:rsidR="002B7C6D" w:rsidRPr="000E7AC8" w:rsidRDefault="002B7C6D">
      <w:pPr>
        <w:rPr>
          <w:rFonts w:ascii="Arial" w:eastAsia="Arial" w:hAnsi="Arial" w:cs="Arial"/>
          <w:sz w:val="24"/>
          <w:szCs w:val="24"/>
        </w:rPr>
      </w:pPr>
    </w:p>
    <w:p w:rsidR="002B7C6D" w:rsidRPr="000E7AC8" w:rsidRDefault="00E75F7D">
      <w:pPr>
        <w:pBdr>
          <w:top w:val="nil"/>
          <w:left w:val="nil"/>
          <w:bottom w:val="nil"/>
          <w:right w:val="nil"/>
          <w:between w:val="nil"/>
        </w:pBd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Para a seleção de áreas destinadas à concessão, são consideradas as seguintes etapas: </w:t>
      </w:r>
    </w:p>
    <w:p w:rsidR="002B7C6D" w:rsidRPr="000E7AC8" w:rsidRDefault="00E75F7D">
      <w:pPr>
        <w:pStyle w:val="Ttulo3"/>
        <w:ind w:firstLine="709"/>
        <w:rPr>
          <w:rFonts w:ascii="Arial" w:eastAsia="Arial" w:hAnsi="Arial" w:cs="Arial"/>
          <w:color w:val="000000"/>
        </w:rPr>
      </w:pPr>
      <w:bookmarkStart w:id="24" w:name="_Toc180138740"/>
      <w:r w:rsidRPr="000E7AC8">
        <w:rPr>
          <w:rFonts w:ascii="Arial" w:eastAsia="Arial" w:hAnsi="Arial" w:cs="Arial"/>
          <w:b/>
          <w:color w:val="38761D"/>
          <w:sz w:val="28"/>
          <w:szCs w:val="28"/>
        </w:rPr>
        <w:t>3.4.1. Exclusão</w:t>
      </w:r>
      <w:bookmarkEnd w:id="24"/>
    </w:p>
    <w:p w:rsidR="002B7C6D" w:rsidRPr="000E7AC8" w:rsidRDefault="002B7C6D">
      <w:pPr>
        <w:rPr>
          <w:rFonts w:ascii="Arial" w:eastAsia="Arial" w:hAnsi="Arial" w:cs="Arial"/>
          <w:sz w:val="24"/>
          <w:szCs w:val="24"/>
        </w:rPr>
      </w:pPr>
    </w:p>
    <w:p w:rsidR="002B7C6D" w:rsidRPr="000E7AC8" w:rsidRDefault="00C81FEE">
      <w:pPr>
        <w:spacing w:line="360" w:lineRule="auto"/>
        <w:ind w:firstLine="709"/>
        <w:jc w:val="both"/>
        <w:rPr>
          <w:rFonts w:ascii="Arial" w:eastAsia="Arial" w:hAnsi="Arial" w:cs="Arial"/>
          <w:sz w:val="24"/>
          <w:szCs w:val="24"/>
        </w:rPr>
      </w:pPr>
      <w:r>
        <w:rPr>
          <w:rFonts w:ascii="Arial" w:eastAsia="Arial" w:hAnsi="Arial" w:cs="Arial"/>
          <w:sz w:val="24"/>
          <w:szCs w:val="24"/>
        </w:rPr>
        <w:t xml:space="preserve">Conforme a Lei Estadual nº </w:t>
      </w:r>
      <w:r w:rsidR="00E75F7D" w:rsidRPr="000E7AC8">
        <w:rPr>
          <w:rFonts w:ascii="Arial" w:eastAsia="Arial" w:hAnsi="Arial" w:cs="Arial"/>
          <w:sz w:val="24"/>
          <w:szCs w:val="24"/>
        </w:rPr>
        <w:t>4.415/2016 (Art. 16 – III e IV), o POFE admite a exclusão das Unidades de Conservação de Proteção Integral, das Reservas de Desenvolvimento Sustentável, das Reservas Extrativistas, das Reservas de fauna e das áreas de relevante interesse ecológico, salvo quanto a ativida</w:t>
      </w:r>
      <w:r>
        <w:rPr>
          <w:rFonts w:ascii="Arial" w:eastAsia="Arial" w:hAnsi="Arial" w:cs="Arial"/>
          <w:sz w:val="24"/>
          <w:szCs w:val="24"/>
        </w:rPr>
        <w:t>des expressamente admitidas no Plano de G</w:t>
      </w:r>
      <w:r w:rsidR="00E75F7D" w:rsidRPr="000E7AC8">
        <w:rPr>
          <w:rFonts w:ascii="Arial" w:eastAsia="Arial" w:hAnsi="Arial" w:cs="Arial"/>
          <w:sz w:val="24"/>
          <w:szCs w:val="24"/>
        </w:rPr>
        <w:t>estão da UC.</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Há também a exclusão de UCs </w:t>
      </w:r>
      <w:r w:rsidR="00793056" w:rsidRPr="000E7AC8">
        <w:rPr>
          <w:rFonts w:ascii="Arial" w:eastAsia="Arial" w:hAnsi="Arial" w:cs="Arial"/>
          <w:sz w:val="24"/>
          <w:szCs w:val="24"/>
        </w:rPr>
        <w:t>que tiveram</w:t>
      </w:r>
      <w:r w:rsidRPr="000E7AC8">
        <w:rPr>
          <w:rFonts w:ascii="Arial" w:eastAsia="Arial" w:hAnsi="Arial" w:cs="Arial"/>
          <w:sz w:val="24"/>
          <w:szCs w:val="24"/>
        </w:rPr>
        <w:t xml:space="preserve"> </w:t>
      </w:r>
      <w:r w:rsidRPr="000E7AC8">
        <w:rPr>
          <w:rFonts w:ascii="Arial" w:eastAsia="Arial" w:hAnsi="Arial" w:cs="Arial"/>
          <w:color w:val="000000"/>
          <w:sz w:val="24"/>
          <w:szCs w:val="24"/>
        </w:rPr>
        <w:t>Propostas de Projetos de Carbono aprovadas pelas comunidades</w:t>
      </w:r>
      <w:r w:rsidR="00C81FEE">
        <w:rPr>
          <w:rFonts w:ascii="Arial" w:eastAsia="Arial" w:hAnsi="Arial" w:cs="Arial"/>
          <w:color w:val="000000"/>
          <w:sz w:val="24"/>
          <w:szCs w:val="24"/>
        </w:rPr>
        <w:t>,</w:t>
      </w:r>
      <w:r w:rsidRPr="000E7AC8">
        <w:rPr>
          <w:rFonts w:ascii="Arial" w:eastAsia="Arial" w:hAnsi="Arial" w:cs="Arial"/>
          <w:color w:val="000000"/>
          <w:sz w:val="24"/>
          <w:szCs w:val="24"/>
        </w:rPr>
        <w:t xml:space="preserve"> para imple</w:t>
      </w:r>
      <w:r w:rsidR="00C81FEE">
        <w:rPr>
          <w:rFonts w:ascii="Arial" w:eastAsia="Arial" w:hAnsi="Arial" w:cs="Arial"/>
          <w:color w:val="000000"/>
          <w:sz w:val="24"/>
          <w:szCs w:val="24"/>
        </w:rPr>
        <w:t>mentação de Projetos de REDD+. A</w:t>
      </w:r>
      <w:r w:rsidRPr="000E7AC8">
        <w:rPr>
          <w:rFonts w:ascii="Arial" w:eastAsia="Arial" w:hAnsi="Arial" w:cs="Arial"/>
          <w:sz w:val="24"/>
          <w:szCs w:val="24"/>
        </w:rPr>
        <w:t>lém destas áreas, também se prevê a exclusão de terras indígenas, de áreas ocupadas por comunidades locais, de áreas de interesse para a criação de Unidades de Conservação de Proteção Integral e as áreas públicas estaduais destinadas a assentamentos florestais.</w:t>
      </w:r>
    </w:p>
    <w:p w:rsidR="002B7C6D" w:rsidRPr="000E7AC8" w:rsidRDefault="00E75F7D">
      <w:pPr>
        <w:pStyle w:val="Ttulo3"/>
        <w:ind w:firstLine="709"/>
        <w:rPr>
          <w:rFonts w:ascii="Arial" w:eastAsia="Arial" w:hAnsi="Arial" w:cs="Arial"/>
          <w:b/>
          <w:color w:val="38761D"/>
          <w:sz w:val="28"/>
          <w:szCs w:val="28"/>
        </w:rPr>
      </w:pPr>
      <w:bookmarkStart w:id="25" w:name="_Toc180138741"/>
      <w:r w:rsidRPr="000E7AC8">
        <w:rPr>
          <w:rFonts w:ascii="Arial" w:eastAsia="Arial" w:hAnsi="Arial" w:cs="Arial"/>
          <w:b/>
          <w:color w:val="38761D"/>
          <w:sz w:val="28"/>
          <w:szCs w:val="28"/>
        </w:rPr>
        <w:t>3.4.2. Inclusão</w:t>
      </w:r>
      <w:bookmarkEnd w:id="25"/>
    </w:p>
    <w:p w:rsidR="002B7C6D" w:rsidRPr="000E7AC8" w:rsidRDefault="002B7C6D">
      <w:pPr>
        <w:rPr>
          <w:rFonts w:ascii="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Estão inclusas florestas públicas municipais localizadas em imóveis arrecadados ou em processo de arrecadação; florestas públicas estaduais localizadas em imóveis arrecadados </w:t>
      </w:r>
      <w:r w:rsidR="00C81FEE">
        <w:rPr>
          <w:rFonts w:ascii="Arial" w:eastAsia="Arial" w:hAnsi="Arial" w:cs="Arial"/>
          <w:sz w:val="24"/>
          <w:szCs w:val="24"/>
        </w:rPr>
        <w:t>ou em processo de arrecadação; U</w:t>
      </w:r>
      <w:r w:rsidRPr="000E7AC8">
        <w:rPr>
          <w:rFonts w:ascii="Arial" w:eastAsia="Arial" w:hAnsi="Arial" w:cs="Arial"/>
          <w:sz w:val="24"/>
          <w:szCs w:val="24"/>
        </w:rPr>
        <w:t xml:space="preserve">nidades de </w:t>
      </w:r>
      <w:r w:rsidR="00C81FEE">
        <w:rPr>
          <w:rFonts w:ascii="Arial" w:eastAsia="Arial" w:hAnsi="Arial" w:cs="Arial"/>
          <w:sz w:val="24"/>
          <w:szCs w:val="24"/>
        </w:rPr>
        <w:t>Conservação E</w:t>
      </w:r>
      <w:r w:rsidRPr="000E7AC8">
        <w:rPr>
          <w:rFonts w:ascii="Arial" w:eastAsia="Arial" w:hAnsi="Arial" w:cs="Arial"/>
          <w:sz w:val="24"/>
          <w:szCs w:val="24"/>
        </w:rPr>
        <w:t xml:space="preserve">staduais, com exceção das áreas privadas localizadas em categorias de </w:t>
      </w:r>
      <w:r w:rsidR="00C81FEE">
        <w:rPr>
          <w:rFonts w:ascii="Arial" w:eastAsia="Arial" w:hAnsi="Arial" w:cs="Arial"/>
          <w:sz w:val="24"/>
          <w:szCs w:val="24"/>
        </w:rPr>
        <w:t>UC</w:t>
      </w:r>
      <w:r w:rsidRPr="000E7AC8">
        <w:rPr>
          <w:rFonts w:ascii="Arial" w:eastAsia="Arial" w:hAnsi="Arial" w:cs="Arial"/>
          <w:sz w:val="24"/>
          <w:szCs w:val="24"/>
        </w:rPr>
        <w:t xml:space="preserve"> que não exijam a </w:t>
      </w:r>
      <w:r w:rsidRPr="000E7AC8">
        <w:rPr>
          <w:rFonts w:ascii="Arial" w:eastAsia="Arial" w:hAnsi="Arial" w:cs="Arial"/>
          <w:sz w:val="24"/>
          <w:szCs w:val="24"/>
        </w:rPr>
        <w:lastRenderedPageBreak/>
        <w:t>desapropriação e florestas localizadas em imóveis urbanos ou rurais matriculados ou em processo de arrecadação em nome do Estado do Amazonas (Figura 4).</w:t>
      </w:r>
    </w:p>
    <w:p w:rsidR="002B7C6D" w:rsidRPr="000E7AC8" w:rsidRDefault="002B7C6D">
      <w:pPr>
        <w:spacing w:line="360" w:lineRule="auto"/>
        <w:jc w:val="both"/>
        <w:rPr>
          <w:rFonts w:ascii="Arial" w:eastAsia="Arial" w:hAnsi="Arial" w:cs="Arial"/>
          <w:sz w:val="24"/>
          <w:szCs w:val="24"/>
        </w:rPr>
      </w:pPr>
    </w:p>
    <w:p w:rsidR="00033571" w:rsidRPr="000E7AC8" w:rsidRDefault="00033571" w:rsidP="00033571">
      <w:pPr>
        <w:pStyle w:val="Legenda"/>
        <w:keepNext/>
        <w:rPr>
          <w:rFonts w:ascii="Arial" w:hAnsi="Arial" w:cs="Arial"/>
          <w:i w:val="0"/>
          <w:color w:val="auto"/>
        </w:rPr>
      </w:pPr>
      <w:bookmarkStart w:id="26" w:name="_heading=h.s1gbyjgykvl2" w:colFirst="0" w:colLast="0"/>
      <w:bookmarkStart w:id="27" w:name="_Toc180053435"/>
      <w:bookmarkStart w:id="28" w:name="_Toc180054216"/>
      <w:bookmarkStart w:id="29" w:name="_Toc180139783"/>
      <w:bookmarkEnd w:id="26"/>
      <w:r w:rsidRPr="000E7AC8">
        <w:rPr>
          <w:rFonts w:ascii="Arial" w:hAnsi="Arial" w:cs="Arial"/>
          <w:i w:val="0"/>
          <w:color w:val="auto"/>
        </w:rPr>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4</w:t>
      </w:r>
      <w:r w:rsidRPr="000E7AC8">
        <w:rPr>
          <w:rFonts w:ascii="Arial" w:hAnsi="Arial" w:cs="Arial"/>
          <w:i w:val="0"/>
          <w:color w:val="auto"/>
        </w:rPr>
        <w:fldChar w:fldCharType="end"/>
      </w:r>
      <w:r w:rsidRPr="000E7AC8">
        <w:rPr>
          <w:rFonts w:ascii="Arial" w:hAnsi="Arial" w:cs="Arial"/>
          <w:i w:val="0"/>
          <w:color w:val="auto"/>
        </w:rPr>
        <w:t>. Etapas prévias para seleção de áreas para concessão florestal.</w:t>
      </w:r>
      <w:bookmarkEnd w:id="27"/>
      <w:bookmarkEnd w:id="28"/>
      <w:bookmarkEnd w:id="29"/>
    </w:p>
    <w:p w:rsidR="002B7C6D" w:rsidRPr="000E7AC8" w:rsidRDefault="00E75F7D" w:rsidP="004A352A">
      <w:pPr>
        <w:spacing w:line="360" w:lineRule="auto"/>
        <w:jc w:val="center"/>
        <w:rPr>
          <w:rFonts w:ascii="Arial" w:eastAsia="Arial" w:hAnsi="Arial" w:cs="Arial"/>
          <w:b/>
          <w:color w:val="38761D"/>
          <w:sz w:val="28"/>
          <w:szCs w:val="28"/>
        </w:rPr>
      </w:pPr>
      <w:r w:rsidRPr="000E7AC8">
        <w:rPr>
          <w:rFonts w:ascii="Arial" w:eastAsia="Arial" w:hAnsi="Arial" w:cs="Arial"/>
          <w:i/>
          <w:noProof/>
        </w:rPr>
        <w:drawing>
          <wp:inline distT="114300" distB="114300" distL="114300" distR="114300" wp14:anchorId="5A39F5F1" wp14:editId="7C9CF71D">
            <wp:extent cx="5820513" cy="4199861"/>
            <wp:effectExtent l="0" t="0" r="0" b="0"/>
            <wp:docPr id="160312999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 cstate="print">
                      <a:extLst>
                        <a:ext uri="{28A0092B-C50C-407E-A947-70E740481C1C}">
                          <a14:useLocalDpi xmlns:a14="http://schemas.microsoft.com/office/drawing/2010/main" val="0"/>
                        </a:ext>
                      </a:extLst>
                    </a:blip>
                    <a:stretch>
                      <a:fillRect/>
                    </a:stretch>
                  </pic:blipFill>
                  <pic:spPr>
                    <a:xfrm>
                      <a:off x="0" y="0"/>
                      <a:ext cx="5860172" cy="4228477"/>
                    </a:xfrm>
                    <a:prstGeom prst="rect">
                      <a:avLst/>
                    </a:prstGeom>
                    <a:ln/>
                  </pic:spPr>
                </pic:pic>
              </a:graphicData>
            </a:graphic>
          </wp:inline>
        </w:drawing>
      </w:r>
    </w:p>
    <w:p w:rsidR="002B7C6D" w:rsidRPr="000E7AC8" w:rsidRDefault="00E75F7D">
      <w:pPr>
        <w:pStyle w:val="Ttulo1"/>
        <w:ind w:firstLine="720"/>
        <w:rPr>
          <w:rFonts w:ascii="Arial" w:eastAsia="Arial" w:hAnsi="Arial" w:cs="Arial"/>
          <w:i/>
          <w:color w:val="000000"/>
          <w:sz w:val="20"/>
          <w:szCs w:val="20"/>
        </w:rPr>
      </w:pPr>
      <w:bookmarkStart w:id="30" w:name="_Toc180138742"/>
      <w:r w:rsidRPr="000E7AC8">
        <w:rPr>
          <w:rFonts w:ascii="Arial" w:eastAsia="Arial" w:hAnsi="Arial" w:cs="Arial"/>
          <w:b/>
          <w:color w:val="38761D"/>
          <w:sz w:val="28"/>
          <w:szCs w:val="28"/>
        </w:rPr>
        <w:t>4. ZONEAMENTO DAS FLORESTAS ESTADUAIS</w:t>
      </w:r>
      <w:bookmarkEnd w:id="30"/>
    </w:p>
    <w:p w:rsidR="002B7C6D" w:rsidRPr="000E7AC8" w:rsidRDefault="002B7C6D">
      <w:pPr>
        <w:rPr>
          <w:rFonts w:ascii="Arial" w:eastAsia="Arial" w:hAnsi="Arial" w:cs="Arial"/>
        </w:rPr>
      </w:pP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 xml:space="preserve">Para garantir que os objetivos de conservação das UCs sejam alcançados, por meio das diretrizes de planejamento e ações de manejo, as quais responderão aos requisitos legais, cada floresta é zoneada conforme o uso das áreas e suas especificidades. Considerando tais aspectos, as áreas de zoneamento são classificadas </w:t>
      </w:r>
      <w:r w:rsidRPr="000E7AC8">
        <w:rPr>
          <w:rFonts w:ascii="Arial" w:eastAsia="Arial" w:hAnsi="Arial" w:cs="Arial"/>
          <w:sz w:val="24"/>
          <w:szCs w:val="24"/>
        </w:rPr>
        <w:lastRenderedPageBreak/>
        <w:t>em Zona de Preservação, Zona de Uso Extensivo, Zona de Uso Intensivo, Zonas de Uso Conflitivo e Zonas Especiais (Figura 5).</w:t>
      </w:r>
    </w:p>
    <w:p w:rsidR="002B7C6D" w:rsidRPr="000E7AC8" w:rsidRDefault="002B7C6D">
      <w:pPr>
        <w:spacing w:line="360" w:lineRule="auto"/>
        <w:ind w:firstLine="720"/>
        <w:jc w:val="both"/>
        <w:rPr>
          <w:rFonts w:ascii="Arial" w:eastAsia="Arial" w:hAnsi="Arial" w:cs="Arial"/>
          <w:sz w:val="24"/>
          <w:szCs w:val="24"/>
        </w:rPr>
      </w:pPr>
    </w:p>
    <w:p w:rsidR="00821D73" w:rsidRPr="000E7AC8" w:rsidRDefault="00821D73" w:rsidP="00821D73">
      <w:pPr>
        <w:pStyle w:val="Legenda"/>
        <w:keepNext/>
        <w:jc w:val="both"/>
        <w:rPr>
          <w:rFonts w:ascii="Arial" w:hAnsi="Arial" w:cs="Arial"/>
          <w:i w:val="0"/>
          <w:color w:val="auto"/>
        </w:rPr>
      </w:pPr>
      <w:bookmarkStart w:id="31" w:name="_Toc180053436"/>
      <w:bookmarkStart w:id="32" w:name="_Toc180054217"/>
      <w:bookmarkStart w:id="33" w:name="_Toc180139784"/>
      <w:r w:rsidRPr="000E7AC8">
        <w:rPr>
          <w:rFonts w:ascii="Arial" w:hAnsi="Arial" w:cs="Arial"/>
          <w:i w:val="0"/>
          <w:color w:val="auto"/>
        </w:rPr>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5</w:t>
      </w:r>
      <w:r w:rsidRPr="000E7AC8">
        <w:rPr>
          <w:rFonts w:ascii="Arial" w:hAnsi="Arial" w:cs="Arial"/>
          <w:i w:val="0"/>
          <w:color w:val="auto"/>
        </w:rPr>
        <w:fldChar w:fldCharType="end"/>
      </w:r>
      <w:r w:rsidRPr="000E7AC8">
        <w:rPr>
          <w:rFonts w:ascii="Arial" w:hAnsi="Arial" w:cs="Arial"/>
          <w:i w:val="0"/>
          <w:color w:val="auto"/>
        </w:rPr>
        <w:t>. Classificação do zoneamento nas Florestas Estaduais passíveis de concessão florestal.</w:t>
      </w:r>
      <w:bookmarkEnd w:id="31"/>
      <w:bookmarkEnd w:id="32"/>
      <w:bookmarkEnd w:id="33"/>
    </w:p>
    <w:p w:rsidR="002B7C6D" w:rsidRPr="000E7AC8" w:rsidRDefault="00E75F7D">
      <w:pPr>
        <w:spacing w:line="276" w:lineRule="auto"/>
        <w:ind w:right="-2"/>
        <w:jc w:val="both"/>
        <w:rPr>
          <w:rFonts w:ascii="Arial" w:eastAsia="Arial" w:hAnsi="Arial" w:cs="Arial"/>
        </w:rPr>
      </w:pPr>
      <w:r w:rsidRPr="000E7AC8">
        <w:rPr>
          <w:rFonts w:ascii="Arial" w:eastAsia="Arial" w:hAnsi="Arial" w:cs="Arial"/>
          <w:noProof/>
          <w:sz w:val="24"/>
          <w:szCs w:val="24"/>
        </w:rPr>
        <w:drawing>
          <wp:inline distT="114300" distB="114300" distL="114300" distR="114300" wp14:anchorId="2CC10833" wp14:editId="04645F54">
            <wp:extent cx="5939480" cy="1816100"/>
            <wp:effectExtent l="0" t="0" r="0" b="0"/>
            <wp:docPr id="160312999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8"/>
                    <a:srcRect/>
                    <a:stretch>
                      <a:fillRect/>
                    </a:stretch>
                  </pic:blipFill>
                  <pic:spPr>
                    <a:xfrm>
                      <a:off x="0" y="0"/>
                      <a:ext cx="5939480" cy="1816100"/>
                    </a:xfrm>
                    <a:prstGeom prst="rect">
                      <a:avLst/>
                    </a:prstGeom>
                    <a:ln/>
                  </pic:spPr>
                </pic:pic>
              </a:graphicData>
            </a:graphic>
          </wp:inline>
        </w:drawing>
      </w:r>
    </w:p>
    <w:p w:rsidR="002B7C6D" w:rsidRPr="000E7AC8" w:rsidRDefault="002B7C6D">
      <w:pPr>
        <w:spacing w:line="360" w:lineRule="auto"/>
        <w:ind w:firstLine="720"/>
        <w:jc w:val="both"/>
        <w:rPr>
          <w:rFonts w:ascii="Arial" w:eastAsia="Arial" w:hAnsi="Arial" w:cs="Arial"/>
          <w:sz w:val="24"/>
          <w:szCs w:val="24"/>
        </w:rPr>
      </w:pP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Especificamente, a Zona de Uso Extensivo é a região onde a intervenção é permitida de forma moderada, destinada à manutenção do modo de vida e sobrevivência das comunidades. As atividades permitidas são: extrativismo de recursos vegetais e animais, proteção, pes</w:t>
      </w:r>
      <w:r w:rsidR="001134B6">
        <w:rPr>
          <w:rFonts w:ascii="Arial" w:eastAsia="Arial" w:hAnsi="Arial" w:cs="Arial"/>
          <w:sz w:val="24"/>
          <w:szCs w:val="24"/>
        </w:rPr>
        <w:t xml:space="preserve">quisa, monitoramento ambiental e </w:t>
      </w:r>
      <w:r w:rsidRPr="000E7AC8">
        <w:rPr>
          <w:rFonts w:ascii="Arial" w:eastAsia="Arial" w:hAnsi="Arial" w:cs="Arial"/>
          <w:sz w:val="24"/>
          <w:szCs w:val="24"/>
        </w:rPr>
        <w:t>uso público (incluindo recreação, divulgação e educação ambiental). Esta zona visa principalmente contribuir para o desenvolvimento local e regional, destinando áreas para o uso múltiplo sustentável dos recursos naturais, com ênfase no uso público e dos recursos florestais madeireiros e não madeireiros.</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 xml:space="preserve">A Zona de Uso Extensivo é constituída de subzonas denominadas de Uso público, Extrativismo e Uso Madeireiro Comercial. A subzona de Uso Extensivo Madeireiro Comercial destina-se a todas as atividades previstas na Zona de Uso Extensivo e também a implementação de atividades de manejo madeireiro comercial de baixo impacto, conforme legislação e as normas descritas nos Planos de Gestão das Florestas Estaduais. </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lastRenderedPageBreak/>
        <w:t>As áreas destinadas à subzona de Uso Extensivo Madeireiro Comercial (Figura 6) são definidas conforme o potencial de uso madeireiro em função de baixa declividade, tipo de solo, acessibilidade e fitofisionomia.</w:t>
      </w:r>
    </w:p>
    <w:p w:rsidR="002B7C6D" w:rsidRPr="000E7AC8" w:rsidRDefault="002B7C6D">
      <w:pPr>
        <w:pBdr>
          <w:top w:val="nil"/>
          <w:left w:val="nil"/>
          <w:bottom w:val="nil"/>
          <w:right w:val="nil"/>
          <w:between w:val="nil"/>
        </w:pBdr>
        <w:spacing w:after="200"/>
        <w:jc w:val="both"/>
        <w:rPr>
          <w:rFonts w:ascii="Arial" w:eastAsia="Arial" w:hAnsi="Arial" w:cs="Arial"/>
          <w:color w:val="000000"/>
        </w:rPr>
      </w:pPr>
    </w:p>
    <w:p w:rsidR="00821D73" w:rsidRPr="000E7AC8" w:rsidRDefault="00821D73" w:rsidP="00821D73">
      <w:pPr>
        <w:pStyle w:val="Legenda"/>
        <w:keepNext/>
        <w:rPr>
          <w:rFonts w:ascii="Arial" w:hAnsi="Arial" w:cs="Arial"/>
          <w:i w:val="0"/>
          <w:color w:val="auto"/>
        </w:rPr>
      </w:pPr>
      <w:bookmarkStart w:id="34" w:name="_heading=h.u9fdn2ti82t" w:colFirst="0" w:colLast="0"/>
      <w:bookmarkStart w:id="35" w:name="_Toc180053437"/>
      <w:bookmarkStart w:id="36" w:name="_Toc180054218"/>
      <w:bookmarkStart w:id="37" w:name="_Toc180139785"/>
      <w:bookmarkEnd w:id="34"/>
      <w:r w:rsidRPr="000E7AC8">
        <w:rPr>
          <w:rFonts w:ascii="Arial" w:hAnsi="Arial" w:cs="Arial"/>
          <w:i w:val="0"/>
          <w:color w:val="auto"/>
        </w:rPr>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6</w:t>
      </w:r>
      <w:r w:rsidRPr="000E7AC8">
        <w:rPr>
          <w:rFonts w:ascii="Arial" w:hAnsi="Arial" w:cs="Arial"/>
          <w:i w:val="0"/>
          <w:color w:val="auto"/>
        </w:rPr>
        <w:fldChar w:fldCharType="end"/>
      </w:r>
      <w:r w:rsidRPr="000E7AC8">
        <w:rPr>
          <w:rFonts w:ascii="Arial" w:hAnsi="Arial" w:cs="Arial"/>
          <w:i w:val="0"/>
          <w:color w:val="auto"/>
        </w:rPr>
        <w:t>. Subzonas da zona de uso extensivo.</w:t>
      </w:r>
      <w:bookmarkEnd w:id="35"/>
      <w:bookmarkEnd w:id="36"/>
      <w:bookmarkEnd w:id="37"/>
    </w:p>
    <w:p w:rsidR="002B7C6D" w:rsidRPr="000E7AC8" w:rsidRDefault="00E75F7D">
      <w:pPr>
        <w:jc w:val="center"/>
        <w:rPr>
          <w:rFonts w:ascii="Arial" w:eastAsia="Arial" w:hAnsi="Arial" w:cs="Arial"/>
          <w:b/>
          <w:color w:val="38761D"/>
          <w:sz w:val="28"/>
          <w:szCs w:val="28"/>
        </w:rPr>
      </w:pPr>
      <w:r w:rsidRPr="000E7AC8">
        <w:rPr>
          <w:rFonts w:ascii="Arial" w:eastAsia="Arial" w:hAnsi="Arial" w:cs="Arial"/>
          <w:noProof/>
        </w:rPr>
        <w:drawing>
          <wp:inline distT="114300" distB="114300" distL="114300" distR="114300" wp14:anchorId="19A9C1FB" wp14:editId="208370F5">
            <wp:extent cx="4422775" cy="4316818"/>
            <wp:effectExtent l="0" t="0" r="0" b="7620"/>
            <wp:docPr id="160312999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a:stretch>
                      <a:fillRect/>
                    </a:stretch>
                  </pic:blipFill>
                  <pic:spPr>
                    <a:xfrm>
                      <a:off x="0" y="0"/>
                      <a:ext cx="4432923" cy="4326723"/>
                    </a:xfrm>
                    <a:prstGeom prst="rect">
                      <a:avLst/>
                    </a:prstGeom>
                    <a:ln/>
                  </pic:spPr>
                </pic:pic>
              </a:graphicData>
            </a:graphic>
          </wp:inline>
        </w:drawing>
      </w:r>
    </w:p>
    <w:p w:rsidR="002B7C6D" w:rsidRPr="000E7AC8" w:rsidRDefault="002B7C6D">
      <w:pPr>
        <w:jc w:val="center"/>
        <w:rPr>
          <w:rFonts w:ascii="Arial" w:eastAsia="Arial" w:hAnsi="Arial" w:cs="Arial"/>
          <w:b/>
          <w:color w:val="38761D"/>
          <w:sz w:val="28"/>
          <w:szCs w:val="28"/>
        </w:rPr>
      </w:pPr>
    </w:p>
    <w:p w:rsidR="002B7C6D" w:rsidRPr="000E7AC8" w:rsidRDefault="00E75F7D">
      <w:pPr>
        <w:pStyle w:val="Ttulo1"/>
        <w:ind w:firstLine="709"/>
        <w:rPr>
          <w:rFonts w:ascii="Arial" w:eastAsia="Arial" w:hAnsi="Arial" w:cs="Arial"/>
          <w:color w:val="000000"/>
          <w:sz w:val="20"/>
          <w:szCs w:val="20"/>
        </w:rPr>
      </w:pPr>
      <w:bookmarkStart w:id="38" w:name="_Toc180138743"/>
      <w:r w:rsidRPr="000E7AC8">
        <w:rPr>
          <w:rFonts w:ascii="Arial" w:eastAsia="Arial" w:hAnsi="Arial" w:cs="Arial"/>
          <w:b/>
          <w:color w:val="38761D"/>
          <w:sz w:val="28"/>
          <w:szCs w:val="28"/>
        </w:rPr>
        <w:t>5. FLORESTAS PÚBLICAS ESTADUAIS PASSÍVEIS DE CONCESSÃO NO ESTADO DO AMAZONAS</w:t>
      </w:r>
      <w:bookmarkEnd w:id="38"/>
    </w:p>
    <w:p w:rsidR="002B7C6D" w:rsidRPr="000E7AC8" w:rsidRDefault="002B7C6D">
      <w:pPr>
        <w:pBdr>
          <w:top w:val="nil"/>
          <w:left w:val="nil"/>
          <w:bottom w:val="nil"/>
          <w:right w:val="nil"/>
          <w:between w:val="nil"/>
        </w:pBdr>
        <w:spacing w:line="360" w:lineRule="auto"/>
        <w:ind w:left="567"/>
        <w:jc w:val="both"/>
        <w:rPr>
          <w:rFonts w:ascii="Arial" w:eastAsia="Arial" w:hAnsi="Arial" w:cs="Arial"/>
          <w:b/>
          <w:color w:val="000000"/>
          <w:sz w:val="24"/>
          <w:szCs w:val="24"/>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No Estado do Amazonas, o conjunto de Florestas Públicas Estaduais que possuem áreas potenciais à atividade de concessão florestal totalizam 2.607.622,52 ha. </w:t>
      </w:r>
      <w:r w:rsidRPr="000E7AC8">
        <w:rPr>
          <w:rFonts w:ascii="Arial" w:eastAsia="Arial" w:hAnsi="Arial" w:cs="Arial"/>
          <w:sz w:val="24"/>
          <w:szCs w:val="24"/>
        </w:rPr>
        <w:lastRenderedPageBreak/>
        <w:t xml:space="preserve">Deste total, cerca de </w:t>
      </w:r>
      <w:r w:rsidR="00A143AE" w:rsidRPr="000E7AC8">
        <w:rPr>
          <w:rFonts w:ascii="Arial" w:eastAsia="Arial" w:hAnsi="Arial" w:cs="Arial"/>
          <w:sz w:val="24"/>
          <w:szCs w:val="24"/>
        </w:rPr>
        <w:t>724.449,56</w:t>
      </w:r>
      <w:r w:rsidRPr="000E7AC8">
        <w:rPr>
          <w:rFonts w:ascii="Arial" w:eastAsia="Arial" w:hAnsi="Arial" w:cs="Arial"/>
          <w:sz w:val="24"/>
          <w:szCs w:val="24"/>
        </w:rPr>
        <w:t xml:space="preserve"> ha de florestas estão localizadas em subzona de uso madeireiro comercial, portanto sendo áreas de florestas passíveis de concessão florestal no Amazonas. </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As Florestas Públicas Estaduais têm como objetivo promover o uso múltiplo sustentável dos recursos florestais, a manutenção e a proteção dos recursos hídricos e da biodiversidade, a recuperação de áreas degradadas, a educação ambiental e a pesquisa científica, com ênfase em métodos para exploração sustentável de florestas nativas, dentre outros.</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O conjunto de Florestas Públicas Estaduais passíveis do estabelecimento de Unidades de Manejo Florestal (UMF) para concessão são oito: Floresta Estadual de Canutama, Floresta Estadual de Maués, Floresta Estadual de Manicoré, Floresta Estadual de Apuí, Floresta Estadual de Sucunduri, Floresta Estadual de Aripuanã, Floresta Estadual do Rio Urubu e Floresta Estadual de Tapauá (Figura 7).</w:t>
      </w: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2B7C6D" w:rsidRPr="000E7AC8" w:rsidRDefault="002B7C6D">
      <w:pPr>
        <w:pBdr>
          <w:top w:val="nil"/>
          <w:left w:val="nil"/>
          <w:bottom w:val="nil"/>
          <w:right w:val="nil"/>
          <w:between w:val="nil"/>
        </w:pBdr>
        <w:spacing w:after="200"/>
        <w:rPr>
          <w:rFonts w:ascii="Arial" w:hAnsi="Arial" w:cs="Arial"/>
          <w:i/>
          <w:color w:val="1F497D"/>
          <w:sz w:val="18"/>
          <w:szCs w:val="18"/>
        </w:rPr>
      </w:pPr>
    </w:p>
    <w:p w:rsidR="00821D73" w:rsidRPr="000E7AC8" w:rsidRDefault="00821D73" w:rsidP="00821D73">
      <w:pPr>
        <w:pStyle w:val="Legenda"/>
        <w:keepNext/>
        <w:jc w:val="both"/>
        <w:rPr>
          <w:rFonts w:ascii="Arial" w:hAnsi="Arial" w:cs="Arial"/>
          <w:i w:val="0"/>
          <w:color w:val="auto"/>
        </w:rPr>
      </w:pPr>
      <w:bookmarkStart w:id="39" w:name="_Toc180053438"/>
      <w:bookmarkStart w:id="40" w:name="_Toc180054219"/>
      <w:bookmarkStart w:id="41" w:name="_Toc180139786"/>
      <w:r w:rsidRPr="000E7AC8">
        <w:rPr>
          <w:rFonts w:ascii="Arial" w:hAnsi="Arial" w:cs="Arial"/>
          <w:i w:val="0"/>
          <w:color w:val="auto"/>
        </w:rPr>
        <w:lastRenderedPageBreak/>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7</w:t>
      </w:r>
      <w:r w:rsidRPr="000E7AC8">
        <w:rPr>
          <w:rFonts w:ascii="Arial" w:hAnsi="Arial" w:cs="Arial"/>
          <w:i w:val="0"/>
          <w:color w:val="auto"/>
        </w:rPr>
        <w:fldChar w:fldCharType="end"/>
      </w:r>
      <w:r w:rsidRPr="000E7AC8">
        <w:rPr>
          <w:rFonts w:ascii="Arial" w:hAnsi="Arial" w:cs="Arial"/>
          <w:i w:val="0"/>
          <w:color w:val="auto"/>
        </w:rPr>
        <w:t>. Mapa de Localização das Florestas Públicas Estaduais passíveis de concessão no Amazonas.</w:t>
      </w:r>
      <w:bookmarkEnd w:id="39"/>
      <w:bookmarkEnd w:id="40"/>
      <w:bookmarkEnd w:id="41"/>
    </w:p>
    <w:p w:rsidR="002B7C6D" w:rsidRPr="000E7AC8" w:rsidRDefault="00E75F7D">
      <w:pPr>
        <w:spacing w:line="360" w:lineRule="auto"/>
        <w:jc w:val="both"/>
        <w:rPr>
          <w:rFonts w:ascii="Arial" w:eastAsia="Arial" w:hAnsi="Arial" w:cs="Arial"/>
          <w:sz w:val="24"/>
          <w:szCs w:val="24"/>
        </w:rPr>
      </w:pPr>
      <w:r w:rsidRPr="000E7AC8">
        <w:rPr>
          <w:rFonts w:ascii="Arial" w:eastAsia="Arial" w:hAnsi="Arial" w:cs="Arial"/>
          <w:noProof/>
          <w:sz w:val="24"/>
          <w:szCs w:val="24"/>
        </w:rPr>
        <w:drawing>
          <wp:inline distT="0" distB="0" distL="0" distR="0" wp14:anchorId="6D913860" wp14:editId="772C9EC0">
            <wp:extent cx="5858539" cy="3965944"/>
            <wp:effectExtent l="0" t="0" r="8890" b="0"/>
            <wp:docPr id="160313000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
                    <a:srcRect/>
                    <a:stretch>
                      <a:fillRect/>
                    </a:stretch>
                  </pic:blipFill>
                  <pic:spPr>
                    <a:xfrm>
                      <a:off x="0" y="0"/>
                      <a:ext cx="5863370" cy="3969214"/>
                    </a:xfrm>
                    <a:prstGeom prst="rect">
                      <a:avLst/>
                    </a:prstGeom>
                    <a:ln/>
                  </pic:spPr>
                </pic:pic>
              </a:graphicData>
            </a:graphic>
          </wp:inline>
        </w:drawing>
      </w:r>
    </w:p>
    <w:p w:rsidR="002B7C6D" w:rsidRPr="000E7AC8" w:rsidRDefault="00E75F7D">
      <w:pPr>
        <w:spacing w:line="360" w:lineRule="auto"/>
        <w:ind w:firstLine="720"/>
        <w:jc w:val="both"/>
        <w:rPr>
          <w:rFonts w:ascii="Arial" w:eastAsia="Arial" w:hAnsi="Arial" w:cs="Arial"/>
          <w:sz w:val="24"/>
          <w:szCs w:val="24"/>
        </w:rPr>
      </w:pPr>
      <w:r w:rsidRPr="000E7AC8">
        <w:rPr>
          <w:rFonts w:ascii="Arial" w:hAnsi="Arial" w:cs="Arial"/>
        </w:rPr>
        <w:t xml:space="preserve"> </w:t>
      </w:r>
      <w:r w:rsidRPr="000E7AC8">
        <w:rPr>
          <w:rFonts w:ascii="Arial" w:eastAsia="Arial" w:hAnsi="Arial" w:cs="Arial"/>
          <w:sz w:val="24"/>
          <w:szCs w:val="24"/>
        </w:rPr>
        <w:t>As Florestas Estaduais estão localizadas em seis municípios do Estado do Amazonas: Canutama, Maués, Apuí, Novo Aripuanã, Rio Preto da Eva e Tapauá.</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No município de Apuí, estão localizadas três Florestas Estaduais: a Floresta Estadual de Aripuanã, Apuí e Florestal Estadual de Sucunduri, inseridas no conjunto de UC’s que formam o Mosaico do Apuí.</w:t>
      </w:r>
    </w:p>
    <w:p w:rsidR="00E8540E" w:rsidRPr="000E7AC8" w:rsidRDefault="00165A52" w:rsidP="00165A52">
      <w:pPr>
        <w:spacing w:line="360" w:lineRule="auto"/>
        <w:ind w:firstLine="720"/>
        <w:jc w:val="both"/>
        <w:rPr>
          <w:rFonts w:ascii="Arial" w:eastAsia="Arial" w:hAnsi="Arial" w:cs="Arial"/>
          <w:sz w:val="24"/>
          <w:szCs w:val="24"/>
        </w:rPr>
      </w:pPr>
      <w:r w:rsidRPr="000E7AC8">
        <w:rPr>
          <w:rFonts w:ascii="Arial" w:eastAsia="Arial" w:hAnsi="Arial" w:cs="Arial"/>
          <w:sz w:val="24"/>
          <w:szCs w:val="24"/>
        </w:rPr>
        <w:t xml:space="preserve">A Floresta com maior área destinada à concessão é a Floresta Estadual de Aripuanã, com área total </w:t>
      </w:r>
      <w:r w:rsidR="00AD3C9C">
        <w:rPr>
          <w:rFonts w:ascii="Arial" w:eastAsia="Arial" w:hAnsi="Arial" w:cs="Arial"/>
          <w:sz w:val="24"/>
          <w:szCs w:val="24"/>
        </w:rPr>
        <w:t>de 207.185,68 ha de florestas. J</w:t>
      </w:r>
      <w:r w:rsidRPr="000E7AC8">
        <w:rPr>
          <w:rFonts w:ascii="Arial" w:eastAsia="Arial" w:hAnsi="Arial" w:cs="Arial"/>
          <w:sz w:val="24"/>
          <w:szCs w:val="24"/>
        </w:rPr>
        <w:t xml:space="preserve">á </w:t>
      </w:r>
      <w:r w:rsidR="00AD3C9C">
        <w:rPr>
          <w:rFonts w:ascii="Arial" w:eastAsia="Arial" w:hAnsi="Arial" w:cs="Arial"/>
          <w:sz w:val="24"/>
          <w:szCs w:val="24"/>
        </w:rPr>
        <w:t xml:space="preserve">a </w:t>
      </w:r>
      <w:r w:rsidRPr="000E7AC8">
        <w:rPr>
          <w:rFonts w:ascii="Arial" w:eastAsia="Arial" w:hAnsi="Arial" w:cs="Arial"/>
          <w:sz w:val="24"/>
          <w:szCs w:val="24"/>
        </w:rPr>
        <w:t>Floresta com menor área dest</w:t>
      </w:r>
      <w:r w:rsidR="00AD3C9C">
        <w:rPr>
          <w:rFonts w:ascii="Arial" w:eastAsia="Arial" w:hAnsi="Arial" w:cs="Arial"/>
          <w:sz w:val="24"/>
          <w:szCs w:val="24"/>
        </w:rPr>
        <w:t xml:space="preserve">inada à concessão é a Floresta </w:t>
      </w:r>
      <w:r w:rsidRPr="000E7AC8">
        <w:rPr>
          <w:rFonts w:ascii="Arial" w:eastAsia="Arial" w:hAnsi="Arial" w:cs="Arial"/>
          <w:sz w:val="24"/>
          <w:szCs w:val="24"/>
        </w:rPr>
        <w:t xml:space="preserve">Estadual de Canutama, que contempla dois municípios, Canutama e Tapauá, com área total de apenas 15.528,86 ha </w:t>
      </w:r>
      <w:r w:rsidR="00AD3C9C">
        <w:rPr>
          <w:rFonts w:ascii="Arial" w:eastAsia="Arial" w:hAnsi="Arial" w:cs="Arial"/>
          <w:sz w:val="24"/>
          <w:szCs w:val="24"/>
        </w:rPr>
        <w:t>para esta finalidade.</w:t>
      </w:r>
    </w:p>
    <w:p w:rsidR="002B7C6D" w:rsidRPr="000E7AC8" w:rsidRDefault="00165A52">
      <w:pPr>
        <w:spacing w:line="360" w:lineRule="auto"/>
        <w:ind w:firstLine="720"/>
        <w:jc w:val="both"/>
        <w:rPr>
          <w:rFonts w:ascii="Arial" w:eastAsia="Arial" w:hAnsi="Arial" w:cs="Arial"/>
          <w:sz w:val="24"/>
          <w:szCs w:val="24"/>
        </w:rPr>
      </w:pPr>
      <w:r w:rsidRPr="000E7AC8">
        <w:rPr>
          <w:rFonts w:ascii="Arial" w:eastAsia="Arial" w:hAnsi="Arial" w:cs="Arial"/>
          <w:sz w:val="24"/>
          <w:szCs w:val="24"/>
        </w:rPr>
        <w:lastRenderedPageBreak/>
        <w:t>Com a</w:t>
      </w:r>
      <w:r w:rsidR="00E8540E" w:rsidRPr="000E7AC8">
        <w:rPr>
          <w:rFonts w:ascii="Arial" w:eastAsia="Arial" w:hAnsi="Arial" w:cs="Arial"/>
          <w:sz w:val="24"/>
          <w:szCs w:val="24"/>
        </w:rPr>
        <w:t xml:space="preserve"> recente</w:t>
      </w:r>
      <w:r w:rsidRPr="000E7AC8">
        <w:rPr>
          <w:rFonts w:ascii="Arial" w:eastAsia="Arial" w:hAnsi="Arial" w:cs="Arial"/>
          <w:sz w:val="24"/>
          <w:szCs w:val="24"/>
        </w:rPr>
        <w:t xml:space="preserve"> Revisão do Plano de Gestão do Mosaico de Apuí</w:t>
      </w:r>
      <w:r w:rsidR="00AD3C9C">
        <w:rPr>
          <w:rFonts w:ascii="Arial" w:eastAsia="Arial" w:hAnsi="Arial" w:cs="Arial"/>
          <w:sz w:val="24"/>
          <w:szCs w:val="24"/>
        </w:rPr>
        <w:t xml:space="preserve">, </w:t>
      </w:r>
      <w:r w:rsidR="00E8540E" w:rsidRPr="000E7AC8">
        <w:rPr>
          <w:rFonts w:ascii="Arial" w:eastAsia="Arial" w:hAnsi="Arial" w:cs="Arial"/>
          <w:sz w:val="24"/>
          <w:szCs w:val="24"/>
        </w:rPr>
        <w:t>realizada no ano de 2020</w:t>
      </w:r>
      <w:r w:rsidRPr="000E7AC8">
        <w:rPr>
          <w:rFonts w:ascii="Arial" w:eastAsia="Arial" w:hAnsi="Arial" w:cs="Arial"/>
          <w:sz w:val="24"/>
          <w:szCs w:val="24"/>
        </w:rPr>
        <w:t>, verificou-se que as áreas destinadas ao uso madeireiro comerc</w:t>
      </w:r>
      <w:r w:rsidR="00E8540E" w:rsidRPr="000E7AC8">
        <w:rPr>
          <w:rFonts w:ascii="Arial" w:eastAsia="Arial" w:hAnsi="Arial" w:cs="Arial"/>
          <w:sz w:val="24"/>
          <w:szCs w:val="24"/>
        </w:rPr>
        <w:t>ial foram reduzi</w:t>
      </w:r>
      <w:r w:rsidRPr="000E7AC8">
        <w:rPr>
          <w:rFonts w:ascii="Arial" w:eastAsia="Arial" w:hAnsi="Arial" w:cs="Arial"/>
          <w:sz w:val="24"/>
          <w:szCs w:val="24"/>
        </w:rPr>
        <w:t>das nas Florestas Estaduais de Aripuanã e Manicoré,</w:t>
      </w:r>
      <w:r w:rsidR="00E8540E" w:rsidRPr="000E7AC8">
        <w:rPr>
          <w:rFonts w:ascii="Arial" w:eastAsia="Arial" w:hAnsi="Arial" w:cs="Arial"/>
          <w:sz w:val="24"/>
          <w:szCs w:val="24"/>
        </w:rPr>
        <w:t xml:space="preserve"> que passaram a t</w:t>
      </w:r>
      <w:r w:rsidR="00AD3C9C">
        <w:rPr>
          <w:rFonts w:ascii="Arial" w:eastAsia="Arial" w:hAnsi="Arial" w:cs="Arial"/>
          <w:sz w:val="24"/>
          <w:szCs w:val="24"/>
        </w:rPr>
        <w:t xml:space="preserve">er 207.185,68 ha e 40.010,87 há, </w:t>
      </w:r>
      <w:r w:rsidR="00E8540E" w:rsidRPr="000E7AC8">
        <w:rPr>
          <w:rFonts w:ascii="Arial" w:eastAsia="Arial" w:hAnsi="Arial" w:cs="Arial"/>
          <w:sz w:val="24"/>
          <w:szCs w:val="24"/>
        </w:rPr>
        <w:t xml:space="preserve">respectivamente. </w:t>
      </w:r>
      <w:r w:rsidR="00E75F7D" w:rsidRPr="000E7AC8">
        <w:rPr>
          <w:rFonts w:ascii="Arial" w:eastAsia="Arial" w:hAnsi="Arial" w:cs="Arial"/>
          <w:sz w:val="24"/>
          <w:szCs w:val="24"/>
        </w:rPr>
        <w:t>Conforme apresentado na primeira Revisão do Plano de Gestão do Mosaico do Apuí, essa redução de área se deve ao tipo de solo da região, que se classifica como inadequado para atividades de alto impacto.</w:t>
      </w:r>
    </w:p>
    <w:p w:rsidR="002B7C6D" w:rsidRPr="000E7AC8" w:rsidRDefault="002B7C6D">
      <w:pPr>
        <w:rPr>
          <w:rFonts w:ascii="Arial" w:eastAsia="Arial" w:hAnsi="Arial" w:cs="Arial"/>
        </w:rPr>
      </w:pPr>
    </w:p>
    <w:p w:rsidR="00821D73" w:rsidRPr="000E7AC8" w:rsidRDefault="00821D73" w:rsidP="00821D73">
      <w:pPr>
        <w:pStyle w:val="Legenda"/>
        <w:keepNext/>
        <w:rPr>
          <w:rFonts w:ascii="Arial" w:hAnsi="Arial" w:cs="Arial"/>
          <w:i w:val="0"/>
          <w:color w:val="auto"/>
        </w:rPr>
      </w:pPr>
      <w:bookmarkStart w:id="42" w:name="_Toc180054241"/>
      <w:r w:rsidRPr="000E7AC8">
        <w:rPr>
          <w:rFonts w:ascii="Arial" w:hAnsi="Arial" w:cs="Arial"/>
          <w:i w:val="0"/>
          <w:color w:val="auto"/>
        </w:rPr>
        <w:t xml:space="preserve">Tabela </w:t>
      </w:r>
      <w:r w:rsidRPr="000E7AC8">
        <w:rPr>
          <w:rFonts w:ascii="Arial" w:hAnsi="Arial" w:cs="Arial"/>
          <w:i w:val="0"/>
          <w:color w:val="auto"/>
        </w:rPr>
        <w:fldChar w:fldCharType="begin"/>
      </w:r>
      <w:r w:rsidRPr="000E7AC8">
        <w:rPr>
          <w:rFonts w:ascii="Arial" w:hAnsi="Arial" w:cs="Arial"/>
          <w:i w:val="0"/>
          <w:color w:val="auto"/>
        </w:rPr>
        <w:instrText xml:space="preserve"> SEQ Tabela \* ARABIC </w:instrText>
      </w:r>
      <w:r w:rsidRPr="000E7AC8">
        <w:rPr>
          <w:rFonts w:ascii="Arial" w:hAnsi="Arial" w:cs="Arial"/>
          <w:i w:val="0"/>
          <w:color w:val="auto"/>
        </w:rPr>
        <w:fldChar w:fldCharType="separate"/>
      </w:r>
      <w:r w:rsidR="009247C4" w:rsidRPr="000E7AC8">
        <w:rPr>
          <w:rFonts w:ascii="Arial" w:hAnsi="Arial" w:cs="Arial"/>
          <w:i w:val="0"/>
          <w:noProof/>
          <w:color w:val="auto"/>
        </w:rPr>
        <w:t>3</w:t>
      </w:r>
      <w:r w:rsidRPr="000E7AC8">
        <w:rPr>
          <w:rFonts w:ascii="Arial" w:hAnsi="Arial" w:cs="Arial"/>
          <w:i w:val="0"/>
          <w:color w:val="auto"/>
        </w:rPr>
        <w:fldChar w:fldCharType="end"/>
      </w:r>
      <w:r w:rsidRPr="000E7AC8">
        <w:rPr>
          <w:rFonts w:ascii="Arial" w:hAnsi="Arial" w:cs="Arial"/>
          <w:i w:val="0"/>
          <w:color w:val="auto"/>
        </w:rPr>
        <w:t>. Florestas Públicas Estaduais passíveis de concessão no Estado do Amazonas.</w:t>
      </w:r>
      <w:bookmarkEnd w:id="42"/>
    </w:p>
    <w:tbl>
      <w:tblPr>
        <w:tblStyle w:val="a9"/>
        <w:tblW w:w="9336"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874"/>
        <w:gridCol w:w="1875"/>
        <w:gridCol w:w="1621"/>
        <w:gridCol w:w="1936"/>
        <w:gridCol w:w="2030"/>
      </w:tblGrid>
      <w:tr w:rsidR="002B7C6D" w:rsidRPr="000E7AC8" w:rsidTr="002B7C6D">
        <w:trPr>
          <w:trHeight w:val="510"/>
        </w:trPr>
        <w:tc>
          <w:tcPr>
            <w:tcW w:w="1874" w:type="dxa"/>
            <w:tcBorders>
              <w:top w:val="single" w:sz="8" w:space="0" w:color="BFBFBF"/>
              <w:left w:val="single" w:sz="7" w:space="0" w:color="BFBFBF"/>
              <w:bottom w:val="single" w:sz="8" w:space="0" w:color="BFBFBF"/>
              <w:right w:val="single" w:sz="7" w:space="0" w:color="BFBFBF"/>
            </w:tcBorders>
            <w:shd w:val="clear" w:color="auto" w:fill="9BBB59"/>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b/>
              </w:rPr>
            </w:pPr>
            <w:r w:rsidRPr="000E7AC8">
              <w:rPr>
                <w:rFonts w:ascii="Arial" w:eastAsia="Arial" w:hAnsi="Arial" w:cs="Arial"/>
                <w:b/>
              </w:rPr>
              <w:t>Florestas Públicas Estaduais</w:t>
            </w:r>
          </w:p>
        </w:tc>
        <w:tc>
          <w:tcPr>
            <w:tcW w:w="1875" w:type="dxa"/>
            <w:tcBorders>
              <w:top w:val="single" w:sz="8" w:space="0" w:color="BFBFBF"/>
              <w:left w:val="nil"/>
              <w:bottom w:val="single" w:sz="7" w:space="0" w:color="BFBFBF"/>
              <w:right w:val="single" w:sz="7" w:space="0" w:color="BFBFBF"/>
            </w:tcBorders>
            <w:shd w:val="clear" w:color="auto" w:fill="9BBB59"/>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b/>
              </w:rPr>
            </w:pPr>
            <w:r w:rsidRPr="000E7AC8">
              <w:rPr>
                <w:rFonts w:ascii="Arial" w:eastAsia="Arial" w:hAnsi="Arial" w:cs="Arial"/>
                <w:b/>
              </w:rPr>
              <w:t>Decreto de criação</w:t>
            </w:r>
          </w:p>
        </w:tc>
        <w:tc>
          <w:tcPr>
            <w:tcW w:w="1621" w:type="dxa"/>
            <w:tcBorders>
              <w:top w:val="single" w:sz="8" w:space="0" w:color="BFBFBF"/>
              <w:left w:val="nil"/>
              <w:bottom w:val="single" w:sz="7" w:space="0" w:color="BFBFBF"/>
              <w:right w:val="single" w:sz="7" w:space="0" w:color="BFBFBF"/>
            </w:tcBorders>
            <w:shd w:val="clear" w:color="auto" w:fill="9BBB59"/>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b/>
              </w:rPr>
            </w:pPr>
            <w:r w:rsidRPr="000E7AC8">
              <w:rPr>
                <w:rFonts w:ascii="Arial" w:eastAsia="Arial" w:hAnsi="Arial" w:cs="Arial"/>
                <w:b/>
              </w:rPr>
              <w:t>Município</w:t>
            </w:r>
          </w:p>
        </w:tc>
        <w:tc>
          <w:tcPr>
            <w:tcW w:w="1936" w:type="dxa"/>
            <w:tcBorders>
              <w:top w:val="single" w:sz="8" w:space="0" w:color="BFBFBF"/>
              <w:left w:val="nil"/>
              <w:bottom w:val="single" w:sz="7" w:space="0" w:color="BFBFBF"/>
              <w:right w:val="single" w:sz="7" w:space="0" w:color="BFBFBF"/>
            </w:tcBorders>
            <w:shd w:val="clear" w:color="auto" w:fill="9BBB59"/>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b/>
              </w:rPr>
            </w:pPr>
            <w:r w:rsidRPr="000E7AC8">
              <w:rPr>
                <w:rFonts w:ascii="Arial" w:eastAsia="Arial" w:hAnsi="Arial" w:cs="Arial"/>
                <w:b/>
              </w:rPr>
              <w:t>Área Total da UC (ha)</w:t>
            </w:r>
          </w:p>
        </w:tc>
        <w:tc>
          <w:tcPr>
            <w:tcW w:w="2030" w:type="dxa"/>
            <w:tcBorders>
              <w:top w:val="single" w:sz="8" w:space="0" w:color="BFBFBF"/>
              <w:left w:val="nil"/>
              <w:bottom w:val="single" w:sz="8" w:space="0" w:color="BFBFBF"/>
              <w:right w:val="single" w:sz="7" w:space="0" w:color="BFBFBF"/>
            </w:tcBorders>
            <w:shd w:val="clear" w:color="auto" w:fill="9BBB59"/>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b/>
              </w:rPr>
            </w:pPr>
            <w:r w:rsidRPr="000E7AC8">
              <w:rPr>
                <w:rFonts w:ascii="Arial" w:eastAsia="Arial" w:hAnsi="Arial" w:cs="Arial"/>
                <w:b/>
              </w:rPr>
              <w:t>Área destinada ao uso madeireiro comercial (ha)</w:t>
            </w:r>
          </w:p>
        </w:tc>
      </w:tr>
      <w:tr w:rsidR="002B7C6D" w:rsidRPr="000E7AC8" w:rsidTr="002B7C6D">
        <w:trPr>
          <w:trHeight w:val="510"/>
        </w:trPr>
        <w:tc>
          <w:tcPr>
            <w:tcW w:w="1874" w:type="dxa"/>
            <w:tcBorders>
              <w:top w:val="single" w:sz="8" w:space="0" w:color="BFBFBF"/>
              <w:left w:val="nil"/>
              <w:bottom w:val="single" w:sz="8"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Floresta Estadual de Aripuanã</w:t>
            </w:r>
          </w:p>
        </w:tc>
        <w:tc>
          <w:tcPr>
            <w:tcW w:w="1875" w:type="dxa"/>
            <w:tcBorders>
              <w:top w:val="nil"/>
              <w:left w:val="single" w:sz="8" w:space="0" w:color="BFBFBF"/>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24.807/2005</w:t>
            </w:r>
          </w:p>
        </w:tc>
        <w:tc>
          <w:tcPr>
            <w:tcW w:w="1621" w:type="dxa"/>
            <w:tcBorders>
              <w:top w:val="nil"/>
              <w:left w:val="nil"/>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 xml:space="preserve">Novo </w:t>
            </w:r>
          </w:p>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Aripuanã</w:t>
            </w:r>
          </w:p>
        </w:tc>
        <w:tc>
          <w:tcPr>
            <w:tcW w:w="1936" w:type="dxa"/>
            <w:tcBorders>
              <w:top w:val="nil"/>
              <w:left w:val="nil"/>
              <w:bottom w:val="single" w:sz="7"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336.040,06</w:t>
            </w:r>
          </w:p>
        </w:tc>
        <w:tc>
          <w:tcPr>
            <w:tcW w:w="2030" w:type="dxa"/>
            <w:tcBorders>
              <w:top w:val="single" w:sz="8" w:space="0" w:color="BFBFBF"/>
              <w:left w:val="single" w:sz="8" w:space="0" w:color="BFBFBF"/>
              <w:bottom w:val="single" w:sz="7" w:space="0" w:color="BFBFBF"/>
              <w:right w:val="nil"/>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207.185,68</w:t>
            </w:r>
          </w:p>
        </w:tc>
      </w:tr>
      <w:tr w:rsidR="002B7C6D" w:rsidRPr="000E7AC8" w:rsidTr="002B7C6D">
        <w:trPr>
          <w:trHeight w:val="510"/>
        </w:trPr>
        <w:tc>
          <w:tcPr>
            <w:tcW w:w="1874" w:type="dxa"/>
            <w:tcBorders>
              <w:top w:val="single" w:sz="8" w:space="0" w:color="BFBFBF"/>
              <w:left w:val="nil"/>
              <w:bottom w:val="single" w:sz="8"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Floresta Estadual de Tapauá</w:t>
            </w:r>
          </w:p>
        </w:tc>
        <w:tc>
          <w:tcPr>
            <w:tcW w:w="1875" w:type="dxa"/>
            <w:tcBorders>
              <w:top w:val="nil"/>
              <w:left w:val="single" w:sz="8" w:space="0" w:color="BFBFBF"/>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28.419/2009</w:t>
            </w:r>
          </w:p>
        </w:tc>
        <w:tc>
          <w:tcPr>
            <w:tcW w:w="1621" w:type="dxa"/>
            <w:tcBorders>
              <w:top w:val="nil"/>
              <w:left w:val="nil"/>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Tapauá</w:t>
            </w:r>
          </w:p>
        </w:tc>
        <w:tc>
          <w:tcPr>
            <w:tcW w:w="1936" w:type="dxa"/>
            <w:tcBorders>
              <w:top w:val="nil"/>
              <w:left w:val="nil"/>
              <w:bottom w:val="single" w:sz="7"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881.704,00</w:t>
            </w:r>
          </w:p>
        </w:tc>
        <w:tc>
          <w:tcPr>
            <w:tcW w:w="2030" w:type="dxa"/>
            <w:tcBorders>
              <w:top w:val="nil"/>
              <w:left w:val="single" w:sz="8" w:space="0" w:color="BFBFBF"/>
              <w:bottom w:val="single" w:sz="7" w:space="0" w:color="BFBFBF"/>
              <w:right w:val="nil"/>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184,456,04</w:t>
            </w:r>
          </w:p>
        </w:tc>
      </w:tr>
      <w:tr w:rsidR="002B7C6D" w:rsidRPr="000E7AC8" w:rsidTr="002B7C6D">
        <w:trPr>
          <w:trHeight w:val="510"/>
        </w:trPr>
        <w:tc>
          <w:tcPr>
            <w:tcW w:w="1874" w:type="dxa"/>
            <w:tcBorders>
              <w:top w:val="single" w:sz="8" w:space="0" w:color="BFBFBF"/>
              <w:left w:val="nil"/>
              <w:bottom w:val="single" w:sz="8"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Floresta Estadual de Maués</w:t>
            </w:r>
          </w:p>
        </w:tc>
        <w:tc>
          <w:tcPr>
            <w:tcW w:w="1875" w:type="dxa"/>
            <w:tcBorders>
              <w:top w:val="nil"/>
              <w:left w:val="single" w:sz="8" w:space="0" w:color="BFBFBF"/>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23.540/2003</w:t>
            </w:r>
          </w:p>
        </w:tc>
        <w:tc>
          <w:tcPr>
            <w:tcW w:w="1621" w:type="dxa"/>
            <w:tcBorders>
              <w:top w:val="nil"/>
              <w:left w:val="nil"/>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Maués</w:t>
            </w:r>
          </w:p>
        </w:tc>
        <w:tc>
          <w:tcPr>
            <w:tcW w:w="1936" w:type="dxa"/>
            <w:tcBorders>
              <w:top w:val="nil"/>
              <w:left w:val="nil"/>
              <w:bottom w:val="single" w:sz="7"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449.715,43</w:t>
            </w:r>
          </w:p>
        </w:tc>
        <w:tc>
          <w:tcPr>
            <w:tcW w:w="2030" w:type="dxa"/>
            <w:tcBorders>
              <w:top w:val="nil"/>
              <w:left w:val="single" w:sz="8" w:space="0" w:color="BFBFBF"/>
              <w:bottom w:val="single" w:sz="7" w:space="0" w:color="BFBFBF"/>
              <w:right w:val="nil"/>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120.693,60</w:t>
            </w:r>
          </w:p>
        </w:tc>
      </w:tr>
      <w:tr w:rsidR="002B7C6D" w:rsidRPr="000E7AC8" w:rsidTr="002B7C6D">
        <w:trPr>
          <w:trHeight w:val="510"/>
        </w:trPr>
        <w:tc>
          <w:tcPr>
            <w:tcW w:w="1874" w:type="dxa"/>
            <w:tcBorders>
              <w:top w:val="single" w:sz="8" w:space="0" w:color="BFBFBF"/>
              <w:left w:val="nil"/>
              <w:bottom w:val="single" w:sz="8"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Floresta Estadual de Sucunduri</w:t>
            </w:r>
          </w:p>
        </w:tc>
        <w:tc>
          <w:tcPr>
            <w:tcW w:w="1875" w:type="dxa"/>
            <w:tcBorders>
              <w:top w:val="nil"/>
              <w:left w:val="single" w:sz="8" w:space="0" w:color="BFBFBF"/>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24.808/2005</w:t>
            </w:r>
          </w:p>
        </w:tc>
        <w:tc>
          <w:tcPr>
            <w:tcW w:w="1621" w:type="dxa"/>
            <w:tcBorders>
              <w:top w:val="nil"/>
              <w:left w:val="nil"/>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Apuí</w:t>
            </w:r>
          </w:p>
        </w:tc>
        <w:tc>
          <w:tcPr>
            <w:tcW w:w="1936" w:type="dxa"/>
            <w:tcBorders>
              <w:top w:val="nil"/>
              <w:left w:val="nil"/>
              <w:bottom w:val="single" w:sz="7"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492.905,27</w:t>
            </w:r>
          </w:p>
        </w:tc>
        <w:tc>
          <w:tcPr>
            <w:tcW w:w="2030" w:type="dxa"/>
            <w:tcBorders>
              <w:top w:val="nil"/>
              <w:left w:val="single" w:sz="8" w:space="0" w:color="BFBFBF"/>
              <w:bottom w:val="single" w:sz="7" w:space="0" w:color="BFBFBF"/>
              <w:right w:val="nil"/>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116.573,95</w:t>
            </w:r>
          </w:p>
        </w:tc>
      </w:tr>
      <w:tr w:rsidR="002B7C6D" w:rsidRPr="000E7AC8" w:rsidTr="002B7C6D">
        <w:trPr>
          <w:trHeight w:val="510"/>
        </w:trPr>
        <w:tc>
          <w:tcPr>
            <w:tcW w:w="1874" w:type="dxa"/>
            <w:tcBorders>
              <w:top w:val="single" w:sz="8" w:space="0" w:color="BFBFBF"/>
              <w:left w:val="nil"/>
              <w:bottom w:val="single" w:sz="8"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Floresta Estadual de Manicoré</w:t>
            </w:r>
          </w:p>
        </w:tc>
        <w:tc>
          <w:tcPr>
            <w:tcW w:w="1875" w:type="dxa"/>
            <w:tcBorders>
              <w:top w:val="nil"/>
              <w:left w:val="single" w:sz="8" w:space="0" w:color="BFBFBF"/>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24.806/2005</w:t>
            </w:r>
          </w:p>
        </w:tc>
        <w:tc>
          <w:tcPr>
            <w:tcW w:w="1621" w:type="dxa"/>
            <w:tcBorders>
              <w:top w:val="nil"/>
              <w:left w:val="nil"/>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 xml:space="preserve">Novo </w:t>
            </w:r>
          </w:p>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Aripuanã</w:t>
            </w:r>
          </w:p>
        </w:tc>
        <w:tc>
          <w:tcPr>
            <w:tcW w:w="1936" w:type="dxa"/>
            <w:tcBorders>
              <w:top w:val="nil"/>
              <w:left w:val="nil"/>
              <w:bottom w:val="single" w:sz="7"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83.381,03</w:t>
            </w:r>
          </w:p>
        </w:tc>
        <w:tc>
          <w:tcPr>
            <w:tcW w:w="2030" w:type="dxa"/>
            <w:tcBorders>
              <w:top w:val="nil"/>
              <w:left w:val="single" w:sz="8" w:space="0" w:color="BFBFBF"/>
              <w:bottom w:val="single" w:sz="7" w:space="0" w:color="BFBFBF"/>
              <w:right w:val="nil"/>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40.010,87</w:t>
            </w:r>
          </w:p>
        </w:tc>
      </w:tr>
      <w:tr w:rsidR="002B7C6D" w:rsidRPr="000E7AC8" w:rsidTr="002B7C6D">
        <w:trPr>
          <w:trHeight w:val="510"/>
        </w:trPr>
        <w:tc>
          <w:tcPr>
            <w:tcW w:w="1874" w:type="dxa"/>
            <w:tcBorders>
              <w:top w:val="single" w:sz="8" w:space="0" w:color="BFBFBF"/>
              <w:left w:val="nil"/>
              <w:bottom w:val="single" w:sz="8" w:space="0" w:color="BFBFBF"/>
              <w:right w:val="single" w:sz="8" w:space="0" w:color="BFBFBF"/>
            </w:tcBorders>
            <w:tcMar>
              <w:top w:w="-864" w:type="dxa"/>
              <w:left w:w="-864" w:type="dxa"/>
              <w:bottom w:w="-864" w:type="dxa"/>
              <w:right w:w="-864" w:type="dxa"/>
            </w:tcMar>
            <w:vAlign w:val="center"/>
          </w:tcPr>
          <w:p w:rsidR="002B7C6D" w:rsidRPr="000E7AC8" w:rsidRDefault="00E75F7D">
            <w:pPr>
              <w:keepNext/>
              <w:jc w:val="center"/>
              <w:rPr>
                <w:rFonts w:ascii="Arial" w:eastAsia="Arial" w:hAnsi="Arial" w:cs="Arial"/>
              </w:rPr>
            </w:pPr>
            <w:r w:rsidRPr="000E7AC8">
              <w:rPr>
                <w:rFonts w:ascii="Arial" w:eastAsia="Arial" w:hAnsi="Arial" w:cs="Arial"/>
              </w:rPr>
              <w:t xml:space="preserve">Floresta Estadual de </w:t>
            </w:r>
          </w:p>
          <w:p w:rsidR="002B7C6D" w:rsidRPr="000E7AC8" w:rsidRDefault="00E75F7D">
            <w:pPr>
              <w:keepNext/>
              <w:jc w:val="center"/>
              <w:rPr>
                <w:rFonts w:ascii="Arial" w:eastAsia="Arial" w:hAnsi="Arial" w:cs="Arial"/>
              </w:rPr>
            </w:pPr>
            <w:r w:rsidRPr="000E7AC8">
              <w:rPr>
                <w:rFonts w:ascii="Arial" w:eastAsia="Arial" w:hAnsi="Arial" w:cs="Arial"/>
              </w:rPr>
              <w:t>Apuí</w:t>
            </w:r>
          </w:p>
        </w:tc>
        <w:tc>
          <w:tcPr>
            <w:tcW w:w="1875" w:type="dxa"/>
            <w:tcBorders>
              <w:top w:val="nil"/>
              <w:left w:val="single" w:sz="8" w:space="0" w:color="BFBFBF"/>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line="276" w:lineRule="auto"/>
              <w:jc w:val="center"/>
              <w:rPr>
                <w:rFonts w:ascii="Arial" w:eastAsia="Arial" w:hAnsi="Arial" w:cs="Arial"/>
              </w:rPr>
            </w:pPr>
            <w:r w:rsidRPr="000E7AC8">
              <w:rPr>
                <w:rFonts w:ascii="Arial" w:eastAsia="Arial" w:hAnsi="Arial" w:cs="Arial"/>
              </w:rPr>
              <w:t>24.812/2005</w:t>
            </w:r>
          </w:p>
        </w:tc>
        <w:tc>
          <w:tcPr>
            <w:tcW w:w="1621" w:type="dxa"/>
            <w:tcBorders>
              <w:top w:val="nil"/>
              <w:left w:val="nil"/>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line="276" w:lineRule="auto"/>
              <w:jc w:val="center"/>
              <w:rPr>
                <w:rFonts w:ascii="Arial" w:eastAsia="Arial" w:hAnsi="Arial" w:cs="Arial"/>
              </w:rPr>
            </w:pPr>
            <w:r w:rsidRPr="000E7AC8">
              <w:rPr>
                <w:rFonts w:ascii="Arial" w:eastAsia="Arial" w:hAnsi="Arial" w:cs="Arial"/>
              </w:rPr>
              <w:t>Apuí</w:t>
            </w:r>
          </w:p>
        </w:tc>
        <w:tc>
          <w:tcPr>
            <w:tcW w:w="1936" w:type="dxa"/>
            <w:tcBorders>
              <w:top w:val="nil"/>
              <w:left w:val="nil"/>
              <w:bottom w:val="single" w:sz="7"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line="276" w:lineRule="auto"/>
              <w:jc w:val="center"/>
              <w:rPr>
                <w:rFonts w:ascii="Arial" w:eastAsia="Arial" w:hAnsi="Arial" w:cs="Arial"/>
              </w:rPr>
            </w:pPr>
            <w:r w:rsidRPr="000E7AC8">
              <w:rPr>
                <w:rFonts w:ascii="Arial" w:eastAsia="Arial" w:hAnsi="Arial" w:cs="Arial"/>
              </w:rPr>
              <w:t>185.946,16</w:t>
            </w:r>
          </w:p>
        </w:tc>
        <w:tc>
          <w:tcPr>
            <w:tcW w:w="2030" w:type="dxa"/>
            <w:tcBorders>
              <w:top w:val="nil"/>
              <w:left w:val="single" w:sz="8" w:space="0" w:color="BFBFBF"/>
              <w:bottom w:val="single" w:sz="7" w:space="0" w:color="BFBFBF"/>
              <w:right w:val="nil"/>
            </w:tcBorders>
            <w:tcMar>
              <w:top w:w="-864" w:type="dxa"/>
              <w:left w:w="-864" w:type="dxa"/>
              <w:bottom w:w="-864" w:type="dxa"/>
              <w:right w:w="-864" w:type="dxa"/>
            </w:tcMar>
            <w:vAlign w:val="center"/>
          </w:tcPr>
          <w:p w:rsidR="002B7C6D" w:rsidRPr="000E7AC8" w:rsidRDefault="00E75F7D">
            <w:pPr>
              <w:keepNext/>
              <w:spacing w:line="276" w:lineRule="auto"/>
              <w:jc w:val="center"/>
              <w:rPr>
                <w:rFonts w:ascii="Arial" w:eastAsia="Arial" w:hAnsi="Arial" w:cs="Arial"/>
              </w:rPr>
            </w:pPr>
            <w:r w:rsidRPr="000E7AC8">
              <w:rPr>
                <w:rFonts w:ascii="Arial" w:eastAsia="Arial" w:hAnsi="Arial" w:cs="Arial"/>
              </w:rPr>
              <w:t>40.000,56</w:t>
            </w:r>
          </w:p>
        </w:tc>
      </w:tr>
      <w:tr w:rsidR="002B7C6D" w:rsidRPr="000E7AC8" w:rsidTr="002B7C6D">
        <w:trPr>
          <w:trHeight w:val="510"/>
        </w:trPr>
        <w:tc>
          <w:tcPr>
            <w:tcW w:w="1874" w:type="dxa"/>
            <w:tcBorders>
              <w:top w:val="single" w:sz="8" w:space="0" w:color="BFBFBF"/>
              <w:left w:val="nil"/>
              <w:bottom w:val="single" w:sz="8"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Floresta Estadual de Canutama</w:t>
            </w:r>
          </w:p>
        </w:tc>
        <w:tc>
          <w:tcPr>
            <w:tcW w:w="1875" w:type="dxa"/>
            <w:tcBorders>
              <w:top w:val="nil"/>
              <w:left w:val="single" w:sz="8" w:space="0" w:color="BFBFBF"/>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28.422/2009</w:t>
            </w:r>
          </w:p>
        </w:tc>
        <w:tc>
          <w:tcPr>
            <w:tcW w:w="1621" w:type="dxa"/>
            <w:tcBorders>
              <w:top w:val="nil"/>
              <w:left w:val="nil"/>
              <w:bottom w:val="single" w:sz="7" w:space="0" w:color="BFBFBF"/>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Canutama e Tapauá</w:t>
            </w:r>
          </w:p>
        </w:tc>
        <w:tc>
          <w:tcPr>
            <w:tcW w:w="1936" w:type="dxa"/>
            <w:tcBorders>
              <w:top w:val="nil"/>
              <w:left w:val="nil"/>
              <w:bottom w:val="single" w:sz="7"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150.588,57</w:t>
            </w:r>
          </w:p>
        </w:tc>
        <w:tc>
          <w:tcPr>
            <w:tcW w:w="2030" w:type="dxa"/>
            <w:tcBorders>
              <w:top w:val="nil"/>
              <w:left w:val="single" w:sz="8" w:space="0" w:color="BFBFBF"/>
              <w:bottom w:val="single" w:sz="7" w:space="0" w:color="BFBFBF"/>
              <w:right w:val="nil"/>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15.528,86</w:t>
            </w:r>
          </w:p>
        </w:tc>
      </w:tr>
      <w:tr w:rsidR="002B7C6D" w:rsidRPr="000E7AC8" w:rsidTr="002B7C6D">
        <w:trPr>
          <w:trHeight w:val="510"/>
        </w:trPr>
        <w:tc>
          <w:tcPr>
            <w:tcW w:w="1874" w:type="dxa"/>
            <w:tcBorders>
              <w:top w:val="single" w:sz="8" w:space="0" w:color="BFBFBF"/>
              <w:left w:val="nil"/>
              <w:bottom w:val="single" w:sz="8" w:space="0" w:color="D9D9D9"/>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Floresta Estadual do Rio Urubu</w:t>
            </w:r>
          </w:p>
        </w:tc>
        <w:tc>
          <w:tcPr>
            <w:tcW w:w="1875" w:type="dxa"/>
            <w:tcBorders>
              <w:top w:val="nil"/>
              <w:left w:val="single" w:sz="8" w:space="0" w:color="BFBFBF"/>
              <w:bottom w:val="single" w:sz="8" w:space="0" w:color="D9D9D9"/>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23.993/2003</w:t>
            </w:r>
          </w:p>
        </w:tc>
        <w:tc>
          <w:tcPr>
            <w:tcW w:w="1621" w:type="dxa"/>
            <w:tcBorders>
              <w:top w:val="nil"/>
              <w:left w:val="nil"/>
              <w:bottom w:val="single" w:sz="8" w:space="0" w:color="D9D9D9"/>
              <w:right w:val="single" w:sz="7"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Rio Preto da Eva</w:t>
            </w:r>
          </w:p>
        </w:tc>
        <w:tc>
          <w:tcPr>
            <w:tcW w:w="1936" w:type="dxa"/>
            <w:tcBorders>
              <w:top w:val="nil"/>
              <w:left w:val="nil"/>
              <w:bottom w:val="single" w:sz="7" w:space="0" w:color="BFBFBF"/>
              <w:right w:val="single" w:sz="8" w:space="0" w:color="BFBFBF"/>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27.342,00</w:t>
            </w:r>
          </w:p>
        </w:tc>
        <w:tc>
          <w:tcPr>
            <w:tcW w:w="2030" w:type="dxa"/>
            <w:tcBorders>
              <w:top w:val="nil"/>
              <w:left w:val="single" w:sz="8" w:space="0" w:color="BFBFBF"/>
              <w:bottom w:val="single" w:sz="7" w:space="0" w:color="BFBFBF"/>
              <w:right w:val="nil"/>
            </w:tcBorders>
            <w:tcMar>
              <w:top w:w="-864" w:type="dxa"/>
              <w:left w:w="-864" w:type="dxa"/>
              <w:bottom w:w="-864" w:type="dxa"/>
              <w:right w:w="-864" w:type="dxa"/>
            </w:tcMar>
            <w:vAlign w:val="center"/>
          </w:tcPr>
          <w:p w:rsidR="002B7C6D" w:rsidRPr="000E7AC8" w:rsidRDefault="00E75F7D">
            <w:pPr>
              <w:keepNext/>
              <w:spacing w:before="240" w:line="276" w:lineRule="auto"/>
              <w:jc w:val="center"/>
              <w:rPr>
                <w:rFonts w:ascii="Arial" w:eastAsia="Arial" w:hAnsi="Arial" w:cs="Arial"/>
              </w:rPr>
            </w:pPr>
            <w:r w:rsidRPr="000E7AC8">
              <w:rPr>
                <w:rFonts w:ascii="Arial" w:eastAsia="Arial" w:hAnsi="Arial" w:cs="Arial"/>
              </w:rPr>
              <w:t>*</w:t>
            </w:r>
          </w:p>
        </w:tc>
      </w:tr>
      <w:tr w:rsidR="002B7C6D" w:rsidRPr="000E7AC8" w:rsidTr="002B7C6D">
        <w:trPr>
          <w:trHeight w:val="510"/>
        </w:trPr>
        <w:tc>
          <w:tcPr>
            <w:tcW w:w="5370" w:type="dxa"/>
            <w:gridSpan w:val="3"/>
            <w:tcBorders>
              <w:top w:val="single" w:sz="8" w:space="0" w:color="D9D9D9"/>
              <w:left w:val="nil"/>
              <w:bottom w:val="single" w:sz="8" w:space="0" w:color="D9D9D9"/>
              <w:right w:val="single" w:sz="8" w:space="0" w:color="D9D9D9"/>
            </w:tcBorders>
            <w:tcMar>
              <w:top w:w="-864" w:type="dxa"/>
              <w:left w:w="-864" w:type="dxa"/>
              <w:bottom w:w="-864" w:type="dxa"/>
              <w:right w:w="-864" w:type="dxa"/>
            </w:tcMar>
            <w:vAlign w:val="center"/>
          </w:tcPr>
          <w:p w:rsidR="002B7C6D" w:rsidRPr="000E7AC8" w:rsidRDefault="00E75F7D">
            <w:pPr>
              <w:keepNext/>
              <w:spacing w:line="276" w:lineRule="auto"/>
              <w:jc w:val="center"/>
              <w:rPr>
                <w:rFonts w:ascii="Arial" w:eastAsia="Arial" w:hAnsi="Arial" w:cs="Arial"/>
                <w:b/>
              </w:rPr>
            </w:pPr>
            <w:r w:rsidRPr="000E7AC8">
              <w:rPr>
                <w:rFonts w:ascii="Arial" w:eastAsia="Arial" w:hAnsi="Arial" w:cs="Arial"/>
                <w:b/>
              </w:rPr>
              <w:t>Total</w:t>
            </w:r>
          </w:p>
        </w:tc>
        <w:tc>
          <w:tcPr>
            <w:tcW w:w="1936" w:type="dxa"/>
            <w:tcBorders>
              <w:top w:val="nil"/>
              <w:left w:val="single" w:sz="8" w:space="0" w:color="D9D9D9"/>
              <w:bottom w:val="single" w:sz="7" w:space="0" w:color="BFBFBF"/>
              <w:right w:val="single" w:sz="8" w:space="0" w:color="BFBFBF"/>
            </w:tcBorders>
            <w:shd w:val="clear" w:color="auto" w:fill="auto"/>
            <w:tcMar>
              <w:top w:w="-864" w:type="dxa"/>
              <w:left w:w="-864" w:type="dxa"/>
              <w:bottom w:w="-864" w:type="dxa"/>
              <w:right w:w="-864" w:type="dxa"/>
            </w:tcMar>
            <w:vAlign w:val="center"/>
          </w:tcPr>
          <w:p w:rsidR="002B7C6D" w:rsidRPr="000E7AC8" w:rsidRDefault="00E75F7D">
            <w:pPr>
              <w:keepNext/>
              <w:spacing w:line="276" w:lineRule="auto"/>
              <w:jc w:val="center"/>
              <w:rPr>
                <w:rFonts w:ascii="Arial" w:eastAsia="Arial" w:hAnsi="Arial" w:cs="Arial"/>
                <w:b/>
              </w:rPr>
            </w:pPr>
            <w:r w:rsidRPr="000E7AC8">
              <w:rPr>
                <w:rFonts w:ascii="Arial" w:eastAsia="Arial" w:hAnsi="Arial" w:cs="Arial"/>
                <w:b/>
              </w:rPr>
              <w:t>2.607.622,52</w:t>
            </w:r>
          </w:p>
        </w:tc>
        <w:tc>
          <w:tcPr>
            <w:tcW w:w="2030" w:type="dxa"/>
            <w:tcBorders>
              <w:top w:val="nil"/>
              <w:left w:val="single" w:sz="8" w:space="0" w:color="BFBFBF"/>
              <w:bottom w:val="single" w:sz="8" w:space="0" w:color="BFBFBF"/>
              <w:right w:val="nil"/>
            </w:tcBorders>
            <w:shd w:val="clear" w:color="auto" w:fill="auto"/>
            <w:tcMar>
              <w:top w:w="-864" w:type="dxa"/>
              <w:left w:w="-864" w:type="dxa"/>
              <w:bottom w:w="-864" w:type="dxa"/>
              <w:right w:w="-864" w:type="dxa"/>
            </w:tcMar>
            <w:vAlign w:val="center"/>
          </w:tcPr>
          <w:p w:rsidR="002B7C6D" w:rsidRPr="000E7AC8" w:rsidRDefault="00A143AE">
            <w:pPr>
              <w:keepNext/>
              <w:jc w:val="center"/>
              <w:rPr>
                <w:rFonts w:ascii="Arial" w:eastAsia="Arial" w:hAnsi="Arial" w:cs="Arial"/>
                <w:b/>
              </w:rPr>
            </w:pPr>
            <w:r w:rsidRPr="000E7AC8">
              <w:rPr>
                <w:rFonts w:ascii="Arial" w:eastAsia="Arial" w:hAnsi="Arial" w:cs="Arial"/>
                <w:b/>
              </w:rPr>
              <w:t>724.449,56</w:t>
            </w:r>
          </w:p>
        </w:tc>
      </w:tr>
    </w:tbl>
    <w:p w:rsidR="002B7C6D" w:rsidRPr="000E7AC8" w:rsidRDefault="00E75F7D">
      <w:pPr>
        <w:spacing w:line="276" w:lineRule="auto"/>
        <w:ind w:right="-2"/>
        <w:rPr>
          <w:rFonts w:ascii="Arial" w:eastAsia="Arial" w:hAnsi="Arial" w:cs="Arial"/>
          <w:color w:val="000000"/>
        </w:rPr>
      </w:pPr>
      <w:bookmarkStart w:id="43" w:name="_heading=h.9xaeexk15z70" w:colFirst="0" w:colLast="0"/>
      <w:bookmarkEnd w:id="43"/>
      <w:r w:rsidRPr="000E7AC8">
        <w:rPr>
          <w:rFonts w:ascii="Arial" w:eastAsia="Arial" w:hAnsi="Arial" w:cs="Arial"/>
          <w:color w:val="000000"/>
        </w:rPr>
        <w:t>Fonte: Sema (202</w:t>
      </w:r>
      <w:r w:rsidRPr="000E7AC8">
        <w:rPr>
          <w:rFonts w:ascii="Arial" w:eastAsia="Arial" w:hAnsi="Arial" w:cs="Arial"/>
        </w:rPr>
        <w:t>4</w:t>
      </w:r>
      <w:r w:rsidRPr="000E7AC8">
        <w:rPr>
          <w:rFonts w:ascii="Arial" w:eastAsia="Arial" w:hAnsi="Arial" w:cs="Arial"/>
          <w:color w:val="000000"/>
        </w:rPr>
        <w:t xml:space="preserve">) </w:t>
      </w:r>
    </w:p>
    <w:p w:rsidR="002B7C6D" w:rsidRPr="000E7AC8" w:rsidRDefault="00E75F7D">
      <w:pPr>
        <w:spacing w:line="276" w:lineRule="auto"/>
        <w:ind w:right="-2"/>
        <w:jc w:val="both"/>
        <w:rPr>
          <w:rFonts w:ascii="Arial" w:eastAsia="Arial" w:hAnsi="Arial" w:cs="Arial"/>
        </w:rPr>
      </w:pPr>
      <w:r w:rsidRPr="000E7AC8">
        <w:rPr>
          <w:rFonts w:ascii="Arial" w:eastAsia="Arial" w:hAnsi="Arial" w:cs="Arial"/>
          <w:color w:val="000000"/>
        </w:rPr>
        <w:lastRenderedPageBreak/>
        <w:t>*O tamanho das áreas para a concessão florestal será definido por meio de estudos de viabilidade ambiental e socioeconômico</w:t>
      </w:r>
      <w:r w:rsidRPr="000E7AC8">
        <w:rPr>
          <w:rFonts w:ascii="Arial" w:eastAsia="Arial" w:hAnsi="Arial" w:cs="Arial"/>
          <w:color w:val="000000"/>
          <w:sz w:val="24"/>
          <w:szCs w:val="24"/>
        </w:rPr>
        <w:t>.</w:t>
      </w:r>
      <w:r w:rsidRPr="000E7AC8">
        <w:rPr>
          <w:rFonts w:ascii="Arial" w:eastAsia="Arial" w:hAnsi="Arial" w:cs="Arial"/>
        </w:rPr>
        <w:t xml:space="preserve"> </w:t>
      </w:r>
    </w:p>
    <w:p w:rsidR="002B7C6D" w:rsidRPr="000E7AC8" w:rsidRDefault="002B7C6D">
      <w:pPr>
        <w:rPr>
          <w:rFonts w:ascii="Arial" w:eastAsia="Arial" w:hAnsi="Arial" w:cs="Arial"/>
        </w:rPr>
      </w:pPr>
    </w:p>
    <w:p w:rsidR="002B7C6D" w:rsidRPr="000E7AC8" w:rsidRDefault="00E75F7D">
      <w:pPr>
        <w:spacing w:line="360" w:lineRule="auto"/>
        <w:ind w:firstLine="720"/>
        <w:rPr>
          <w:rFonts w:ascii="Arial" w:eastAsia="Arial" w:hAnsi="Arial" w:cs="Arial"/>
          <w:sz w:val="24"/>
          <w:szCs w:val="24"/>
        </w:rPr>
      </w:pPr>
      <w:r w:rsidRPr="000E7AC8">
        <w:rPr>
          <w:rFonts w:ascii="Arial" w:eastAsia="Arial" w:hAnsi="Arial" w:cs="Arial"/>
          <w:sz w:val="24"/>
          <w:szCs w:val="24"/>
        </w:rPr>
        <w:t>A seguir, são descritas as florestas estaduais com áreas destinadas a atividade madeireira comercial, aptas a concessão florestal:</w:t>
      </w:r>
    </w:p>
    <w:p w:rsidR="002B7C6D" w:rsidRPr="000E7AC8" w:rsidRDefault="002B7C6D">
      <w:pPr>
        <w:spacing w:line="360" w:lineRule="auto"/>
        <w:ind w:firstLine="720"/>
        <w:rPr>
          <w:rFonts w:ascii="Arial" w:eastAsia="Arial" w:hAnsi="Arial" w:cs="Arial"/>
        </w:rPr>
      </w:pPr>
    </w:p>
    <w:p w:rsidR="002B7C6D" w:rsidRPr="000E7AC8" w:rsidRDefault="002B7C6D">
      <w:pPr>
        <w:rPr>
          <w:rFonts w:ascii="Arial" w:eastAsia="Arial" w:hAnsi="Arial" w:cs="Arial"/>
        </w:rPr>
      </w:pPr>
    </w:p>
    <w:p w:rsidR="002B7C6D" w:rsidRPr="000E7AC8" w:rsidRDefault="001D6F1B">
      <w:pPr>
        <w:pStyle w:val="Ttulo2"/>
        <w:rPr>
          <w:rFonts w:ascii="Arial" w:eastAsia="Arial" w:hAnsi="Arial" w:cs="Arial"/>
          <w:b/>
          <w:color w:val="38761D"/>
          <w:sz w:val="28"/>
          <w:szCs w:val="28"/>
        </w:rPr>
      </w:pPr>
      <w:bookmarkStart w:id="44" w:name="_Toc180138744"/>
      <w:r>
        <w:rPr>
          <w:rFonts w:ascii="Arial" w:eastAsia="Arial" w:hAnsi="Arial" w:cs="Arial"/>
          <w:b/>
          <w:color w:val="38761D"/>
          <w:sz w:val="28"/>
          <w:szCs w:val="28"/>
        </w:rPr>
        <w:t>5.1. MOSAICO DO</w:t>
      </w:r>
      <w:r w:rsidR="00E75F7D" w:rsidRPr="000E7AC8">
        <w:rPr>
          <w:rFonts w:ascii="Arial" w:eastAsia="Arial" w:hAnsi="Arial" w:cs="Arial"/>
          <w:b/>
          <w:color w:val="38761D"/>
          <w:sz w:val="28"/>
          <w:szCs w:val="28"/>
        </w:rPr>
        <w:t xml:space="preserve"> APUÍ</w:t>
      </w:r>
      <w:bookmarkEnd w:id="44"/>
    </w:p>
    <w:p w:rsidR="002B7C6D" w:rsidRPr="000E7AC8" w:rsidRDefault="002B7C6D">
      <w:pPr>
        <w:rPr>
          <w:rFonts w:ascii="Arial" w:eastAsia="Arial" w:hAnsi="Arial" w:cs="Arial"/>
        </w:rPr>
      </w:pP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O Governo Estadual criou em 2005 um conjunto de Unidades de Conservação denominado Mosaico do Apuí, localizado na região sudeste do estado do Amazonas, tendo como objetivo conservar a biodiversidade, promover a manutenção dos modos de vida das populações tradicionais da região</w:t>
      </w:r>
      <w:r w:rsidR="001D6F1B">
        <w:rPr>
          <w:rFonts w:ascii="Arial" w:eastAsia="Arial" w:hAnsi="Arial" w:cs="Arial"/>
          <w:sz w:val="24"/>
          <w:szCs w:val="24"/>
        </w:rPr>
        <w:t>,</w:t>
      </w:r>
      <w:r w:rsidRPr="000E7AC8">
        <w:rPr>
          <w:rFonts w:ascii="Arial" w:eastAsia="Arial" w:hAnsi="Arial" w:cs="Arial"/>
          <w:sz w:val="24"/>
          <w:szCs w:val="24"/>
        </w:rPr>
        <w:t xml:space="preserve"> além de conter o avanço do desmatamento causado pela expansão da fronteira agropecuária vinda da região centro-oeste do Brasil.</w:t>
      </w: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 xml:space="preserve">O Mosaico do Apuí está inserido </w:t>
      </w:r>
      <w:r w:rsidR="001D6F1B">
        <w:rPr>
          <w:rFonts w:ascii="Arial" w:eastAsia="Arial" w:hAnsi="Arial" w:cs="Arial"/>
          <w:sz w:val="24"/>
          <w:szCs w:val="24"/>
        </w:rPr>
        <w:t>entre os</w:t>
      </w:r>
      <w:r w:rsidRPr="000E7AC8">
        <w:rPr>
          <w:rFonts w:ascii="Arial" w:eastAsia="Arial" w:hAnsi="Arial" w:cs="Arial"/>
          <w:sz w:val="24"/>
          <w:szCs w:val="24"/>
        </w:rPr>
        <w:t xml:space="preserve"> municípios de Apuí e Novo Ari</w:t>
      </w:r>
      <w:r w:rsidR="001D6F1B">
        <w:rPr>
          <w:rFonts w:ascii="Arial" w:eastAsia="Arial" w:hAnsi="Arial" w:cs="Arial"/>
          <w:sz w:val="24"/>
          <w:szCs w:val="24"/>
        </w:rPr>
        <w:t>puanã, tendo seu limite sul n</w:t>
      </w:r>
      <w:r w:rsidRPr="000E7AC8">
        <w:rPr>
          <w:rFonts w:ascii="Arial" w:eastAsia="Arial" w:hAnsi="Arial" w:cs="Arial"/>
          <w:sz w:val="24"/>
          <w:szCs w:val="24"/>
        </w:rPr>
        <w:t xml:space="preserve">a divisa com o estado do Mato Grosso. A maior parte da área do Mosaico do Apuí está inserida no município de Apuí, cuja sede municipal constitui o principal ponto de partida para as UCs integrantes do Mosaico. </w:t>
      </w:r>
    </w:p>
    <w:p w:rsidR="002B7C6D" w:rsidRPr="000E7AC8" w:rsidRDefault="00E75F7D">
      <w:pPr>
        <w:spacing w:line="360" w:lineRule="auto"/>
        <w:ind w:firstLine="720"/>
        <w:jc w:val="both"/>
        <w:rPr>
          <w:rFonts w:ascii="Arial" w:eastAsia="Arial" w:hAnsi="Arial" w:cs="Arial"/>
        </w:rPr>
      </w:pPr>
      <w:r w:rsidRPr="000E7AC8">
        <w:rPr>
          <w:rFonts w:ascii="Arial" w:eastAsia="Arial" w:hAnsi="Arial" w:cs="Arial"/>
          <w:sz w:val="24"/>
          <w:szCs w:val="24"/>
        </w:rPr>
        <w:t xml:space="preserve">O Mosaico é constituído de sete Unidades de Conservação, </w:t>
      </w:r>
      <w:r w:rsidR="00085563">
        <w:rPr>
          <w:rFonts w:ascii="Arial" w:eastAsia="Arial" w:hAnsi="Arial" w:cs="Arial"/>
          <w:sz w:val="24"/>
          <w:szCs w:val="24"/>
        </w:rPr>
        <w:t>das quais</w:t>
      </w:r>
      <w:r w:rsidRPr="000E7AC8">
        <w:rPr>
          <w:rFonts w:ascii="Arial" w:eastAsia="Arial" w:hAnsi="Arial" w:cs="Arial"/>
          <w:sz w:val="24"/>
          <w:szCs w:val="24"/>
        </w:rPr>
        <w:t xml:space="preserve"> quatro são Florestas Estaduais com áreas passíveis de concessão florestal, são elas: Floresta Estadual de Apuí, Floresta Estadual de Aripuanã, Floresta Estadual de Manicoré e Floresta Estadual do Sucunduri. As quatro Florestas Estaduais do Mosaico do Apuí totalizam uma área de 403.771,05 hectares de áreas de florestas aptas à atividade de uso madeireiro comercial (Figura 8).</w:t>
      </w:r>
      <w:r w:rsidRPr="000E7AC8">
        <w:rPr>
          <w:rFonts w:ascii="Arial" w:hAnsi="Arial" w:cs="Arial"/>
        </w:rPr>
        <w:br w:type="page"/>
      </w:r>
    </w:p>
    <w:p w:rsidR="007D5D2E" w:rsidRPr="000E7AC8" w:rsidRDefault="007D5D2E" w:rsidP="007D5D2E">
      <w:pPr>
        <w:pStyle w:val="Legenda"/>
        <w:keepNext/>
        <w:jc w:val="both"/>
        <w:rPr>
          <w:rFonts w:ascii="Arial" w:hAnsi="Arial" w:cs="Arial"/>
          <w:i w:val="0"/>
          <w:color w:val="auto"/>
        </w:rPr>
      </w:pPr>
      <w:bookmarkStart w:id="45" w:name="_Toc180053439"/>
      <w:bookmarkStart w:id="46" w:name="_Toc180054220"/>
      <w:bookmarkStart w:id="47" w:name="_Toc180139787"/>
      <w:r w:rsidRPr="000E7AC8">
        <w:rPr>
          <w:rFonts w:ascii="Arial" w:hAnsi="Arial" w:cs="Arial"/>
          <w:i w:val="0"/>
          <w:color w:val="auto"/>
        </w:rPr>
        <w:lastRenderedPageBreak/>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8</w:t>
      </w:r>
      <w:r w:rsidRPr="000E7AC8">
        <w:rPr>
          <w:rFonts w:ascii="Arial" w:hAnsi="Arial" w:cs="Arial"/>
          <w:i w:val="0"/>
          <w:color w:val="auto"/>
        </w:rPr>
        <w:fldChar w:fldCharType="end"/>
      </w:r>
      <w:r w:rsidRPr="000E7AC8">
        <w:rPr>
          <w:rFonts w:ascii="Arial" w:hAnsi="Arial" w:cs="Arial"/>
          <w:i w:val="0"/>
          <w:color w:val="auto"/>
        </w:rPr>
        <w:t>. Mapa de Localização das Florestas Públicas Estaduais do Mosaico de Apuí.</w:t>
      </w:r>
      <w:bookmarkEnd w:id="45"/>
      <w:bookmarkEnd w:id="46"/>
      <w:bookmarkEnd w:id="47"/>
    </w:p>
    <w:p w:rsidR="002B7C6D" w:rsidRPr="000E7AC8" w:rsidRDefault="00675F69">
      <w:pPr>
        <w:spacing w:line="360" w:lineRule="auto"/>
        <w:jc w:val="both"/>
        <w:rPr>
          <w:rFonts w:ascii="Arial" w:eastAsia="Arial" w:hAnsi="Arial" w:cs="Arial"/>
          <w:sz w:val="24"/>
          <w:szCs w:val="24"/>
        </w:rPr>
      </w:pPr>
      <w:r w:rsidRPr="000E7AC8">
        <w:rPr>
          <w:rFonts w:ascii="Arial" w:eastAsia="Arial" w:hAnsi="Arial" w:cs="Arial"/>
          <w:noProof/>
          <w:sz w:val="24"/>
          <w:szCs w:val="24"/>
        </w:rPr>
        <w:drawing>
          <wp:inline distT="0" distB="0" distL="0" distR="0" wp14:anchorId="05D330E7" wp14:editId="1207B8DB">
            <wp:extent cx="5939790" cy="4203065"/>
            <wp:effectExtent l="0" t="0" r="3810" b="698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SCALA.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9790" cy="4203065"/>
                    </a:xfrm>
                    <a:prstGeom prst="rect">
                      <a:avLst/>
                    </a:prstGeom>
                  </pic:spPr>
                </pic:pic>
              </a:graphicData>
            </a:graphic>
          </wp:inline>
        </w:drawing>
      </w:r>
    </w:p>
    <w:p w:rsidR="002B7C6D" w:rsidRPr="000E7AC8" w:rsidRDefault="00E75F7D">
      <w:pPr>
        <w:pStyle w:val="Ttulo3"/>
        <w:numPr>
          <w:ilvl w:val="2"/>
          <w:numId w:val="5"/>
        </w:numPr>
        <w:ind w:hanging="720"/>
        <w:rPr>
          <w:rFonts w:ascii="Arial" w:eastAsia="Arial" w:hAnsi="Arial" w:cs="Arial"/>
          <w:b/>
          <w:color w:val="38761D"/>
          <w:sz w:val="28"/>
          <w:szCs w:val="28"/>
        </w:rPr>
      </w:pPr>
      <w:r w:rsidRPr="000E7AC8">
        <w:rPr>
          <w:rFonts w:ascii="Arial" w:eastAsia="Arial" w:hAnsi="Arial" w:cs="Arial"/>
          <w:b/>
          <w:color w:val="38761D"/>
          <w:sz w:val="28"/>
          <w:szCs w:val="28"/>
        </w:rPr>
        <w:t xml:space="preserve"> </w:t>
      </w:r>
      <w:bookmarkStart w:id="48" w:name="_Toc180138745"/>
      <w:r w:rsidRPr="000E7AC8">
        <w:rPr>
          <w:rFonts w:ascii="Arial" w:eastAsia="Arial" w:hAnsi="Arial" w:cs="Arial"/>
          <w:b/>
          <w:color w:val="38761D"/>
          <w:sz w:val="28"/>
          <w:szCs w:val="28"/>
        </w:rPr>
        <w:t>Floresta Estadual de Apuí</w:t>
      </w:r>
      <w:bookmarkEnd w:id="48"/>
      <w:r w:rsidRPr="000E7AC8">
        <w:rPr>
          <w:rFonts w:ascii="Arial" w:eastAsia="Arial" w:hAnsi="Arial" w:cs="Arial"/>
          <w:b/>
          <w:color w:val="38761D"/>
          <w:sz w:val="28"/>
          <w:szCs w:val="28"/>
        </w:rPr>
        <w:t xml:space="preserve"> </w:t>
      </w:r>
    </w:p>
    <w:p w:rsidR="002B7C6D" w:rsidRPr="000E7AC8" w:rsidRDefault="002B7C6D">
      <w:pPr>
        <w:rPr>
          <w:rFonts w:ascii="Arial" w:eastAsia="Arial" w:hAnsi="Arial" w:cs="Arial"/>
        </w:rPr>
      </w:pPr>
    </w:p>
    <w:p w:rsidR="002B7C6D" w:rsidRPr="000E7AC8" w:rsidRDefault="00E75F7D">
      <w:pPr>
        <w:shd w:val="clear" w:color="auto" w:fill="FFFFFF"/>
        <w:spacing w:line="360" w:lineRule="auto"/>
        <w:ind w:firstLine="709"/>
        <w:jc w:val="both"/>
        <w:rPr>
          <w:rFonts w:ascii="Arial" w:eastAsia="Arial" w:hAnsi="Arial" w:cs="Arial"/>
          <w:sz w:val="24"/>
          <w:szCs w:val="24"/>
        </w:rPr>
      </w:pPr>
      <w:r w:rsidRPr="000E7AC8">
        <w:rPr>
          <w:rFonts w:ascii="Arial" w:eastAsia="Arial" w:hAnsi="Arial" w:cs="Arial"/>
          <w:sz w:val="24"/>
          <w:szCs w:val="24"/>
        </w:rPr>
        <w:t>A Floresta Estadual de Apuí, localizada no município de Apuí, possui uma área de 185.946,16 ha. Foi criada pelo Decreto nº 24.812 de 2005 e o Conselho Gestor estabelecido pela Portaria nº 55/2010, sendo a gestão integrada ao Plano de Gestão do Mosaico de Unidades de Conservação do Apuí (Figura 9).</w:t>
      </w:r>
    </w:p>
    <w:p w:rsidR="002B7C6D" w:rsidRPr="000E7AC8" w:rsidRDefault="00E75F7D">
      <w:pPr>
        <w:shd w:val="clear" w:color="auto" w:fill="FFFFFF"/>
        <w:spacing w:line="360" w:lineRule="auto"/>
        <w:ind w:firstLine="709"/>
        <w:jc w:val="both"/>
        <w:rPr>
          <w:rFonts w:ascii="Arial" w:eastAsia="Arial" w:hAnsi="Arial" w:cs="Arial"/>
          <w:i/>
        </w:rPr>
      </w:pPr>
      <w:r w:rsidRPr="000E7AC8">
        <w:rPr>
          <w:rFonts w:ascii="Arial" w:eastAsia="Arial" w:hAnsi="Arial" w:cs="Arial"/>
          <w:i/>
        </w:rPr>
        <w:t xml:space="preserve"> </w:t>
      </w:r>
    </w:p>
    <w:p w:rsidR="002B7C6D" w:rsidRPr="000E7AC8" w:rsidRDefault="00E75F7D" w:rsidP="00E00BC0">
      <w:pPr>
        <w:rPr>
          <w:rFonts w:ascii="Arial" w:eastAsia="Arial" w:hAnsi="Arial" w:cs="Arial"/>
        </w:rPr>
      </w:pPr>
      <w:r w:rsidRPr="000E7AC8">
        <w:rPr>
          <w:rFonts w:ascii="Arial" w:hAnsi="Arial" w:cs="Arial"/>
        </w:rPr>
        <w:br w:type="page"/>
      </w:r>
    </w:p>
    <w:p w:rsidR="007D5D2E" w:rsidRPr="000E7AC8" w:rsidRDefault="007D5D2E" w:rsidP="007D5D2E">
      <w:pPr>
        <w:pStyle w:val="Legenda"/>
        <w:keepNext/>
        <w:jc w:val="both"/>
        <w:rPr>
          <w:rFonts w:ascii="Arial" w:hAnsi="Arial" w:cs="Arial"/>
          <w:i w:val="0"/>
          <w:color w:val="auto"/>
        </w:rPr>
      </w:pPr>
      <w:bookmarkStart w:id="49" w:name="_Toc180053440"/>
      <w:bookmarkStart w:id="50" w:name="_Toc180054221"/>
      <w:bookmarkStart w:id="51" w:name="_Toc180139788"/>
      <w:r w:rsidRPr="000E7AC8">
        <w:rPr>
          <w:rFonts w:ascii="Arial" w:hAnsi="Arial" w:cs="Arial"/>
          <w:i w:val="0"/>
          <w:color w:val="auto"/>
        </w:rPr>
        <w:lastRenderedPageBreak/>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9</w:t>
      </w:r>
      <w:r w:rsidRPr="000E7AC8">
        <w:rPr>
          <w:rFonts w:ascii="Arial" w:hAnsi="Arial" w:cs="Arial"/>
          <w:i w:val="0"/>
          <w:color w:val="auto"/>
        </w:rPr>
        <w:fldChar w:fldCharType="end"/>
      </w:r>
      <w:r w:rsidRPr="000E7AC8">
        <w:rPr>
          <w:rFonts w:ascii="Arial" w:hAnsi="Arial" w:cs="Arial"/>
          <w:i w:val="0"/>
          <w:color w:val="auto"/>
        </w:rPr>
        <w:t>. Mapa da área de abrangência da Floresta Estadual de Apuí.</w:t>
      </w:r>
      <w:bookmarkEnd w:id="49"/>
      <w:bookmarkEnd w:id="50"/>
      <w:bookmarkEnd w:id="51"/>
    </w:p>
    <w:p w:rsidR="002B7C6D" w:rsidRPr="000E7AC8" w:rsidRDefault="00E75F7D">
      <w:pPr>
        <w:shd w:val="clear" w:color="auto" w:fill="FFFFFF"/>
        <w:spacing w:line="360" w:lineRule="auto"/>
        <w:jc w:val="both"/>
        <w:rPr>
          <w:rFonts w:ascii="Arial" w:eastAsia="Arial" w:hAnsi="Arial" w:cs="Arial"/>
          <w:sz w:val="24"/>
          <w:szCs w:val="24"/>
        </w:rPr>
      </w:pPr>
      <w:r w:rsidRPr="000E7AC8">
        <w:rPr>
          <w:rFonts w:ascii="Arial" w:eastAsia="Arial" w:hAnsi="Arial" w:cs="Arial"/>
          <w:noProof/>
          <w:sz w:val="24"/>
          <w:szCs w:val="24"/>
        </w:rPr>
        <w:drawing>
          <wp:inline distT="0" distB="0" distL="0" distR="0" wp14:anchorId="4D4B601B" wp14:editId="5FB2CEA3">
            <wp:extent cx="5939790" cy="4203065"/>
            <wp:effectExtent l="0" t="0" r="0" b="0"/>
            <wp:docPr id="160313000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l="6" r="6"/>
                    <a:stretch>
                      <a:fillRect/>
                    </a:stretch>
                  </pic:blipFill>
                  <pic:spPr>
                    <a:xfrm>
                      <a:off x="0" y="0"/>
                      <a:ext cx="5939790" cy="4203065"/>
                    </a:xfrm>
                    <a:prstGeom prst="rect">
                      <a:avLst/>
                    </a:prstGeom>
                    <a:ln/>
                  </pic:spPr>
                </pic:pic>
              </a:graphicData>
            </a:graphic>
          </wp:inline>
        </w:drawing>
      </w:r>
    </w:p>
    <w:p w:rsidR="002B7C6D" w:rsidRPr="000E7AC8" w:rsidRDefault="00E75F7D">
      <w:pPr>
        <w:shd w:val="clear" w:color="auto" w:fill="FFFFFF"/>
        <w:spacing w:line="360" w:lineRule="auto"/>
        <w:ind w:firstLine="720"/>
        <w:jc w:val="both"/>
        <w:rPr>
          <w:rFonts w:ascii="Arial" w:eastAsia="Arial" w:hAnsi="Arial" w:cs="Arial"/>
          <w:sz w:val="24"/>
          <w:szCs w:val="24"/>
        </w:rPr>
      </w:pPr>
      <w:r w:rsidRPr="000E7AC8">
        <w:rPr>
          <w:rFonts w:ascii="Arial" w:eastAsia="Arial" w:hAnsi="Arial" w:cs="Arial"/>
          <w:sz w:val="24"/>
          <w:szCs w:val="24"/>
        </w:rPr>
        <w:t>O acesso à Floresta Estadual se dá basicamente por via fluvial e por pequenos barcos. Na</w:t>
      </w:r>
      <w:r w:rsidR="0047527C">
        <w:rPr>
          <w:rFonts w:ascii="Arial" w:eastAsia="Arial" w:hAnsi="Arial" w:cs="Arial"/>
          <w:sz w:val="24"/>
          <w:szCs w:val="24"/>
        </w:rPr>
        <w:t>s</w:t>
      </w:r>
      <w:r w:rsidRPr="000E7AC8">
        <w:rPr>
          <w:rFonts w:ascii="Arial" w:eastAsia="Arial" w:hAnsi="Arial" w:cs="Arial"/>
          <w:sz w:val="24"/>
          <w:szCs w:val="24"/>
        </w:rPr>
        <w:t xml:space="preserve"> área</w:t>
      </w:r>
      <w:r w:rsidR="0047527C">
        <w:rPr>
          <w:rFonts w:ascii="Arial" w:eastAsia="Arial" w:hAnsi="Arial" w:cs="Arial"/>
          <w:sz w:val="24"/>
          <w:szCs w:val="24"/>
        </w:rPr>
        <w:t>s</w:t>
      </w:r>
      <w:r w:rsidRPr="000E7AC8">
        <w:rPr>
          <w:rFonts w:ascii="Arial" w:eastAsia="Arial" w:hAnsi="Arial" w:cs="Arial"/>
          <w:sz w:val="24"/>
          <w:szCs w:val="24"/>
        </w:rPr>
        <w:t xml:space="preserve"> próximas às bacias dos rios Aripuanã e Guariba predominam lat</w:t>
      </w:r>
      <w:r w:rsidR="0047527C">
        <w:rPr>
          <w:rFonts w:ascii="Arial" w:eastAsia="Arial" w:hAnsi="Arial" w:cs="Arial"/>
          <w:sz w:val="24"/>
          <w:szCs w:val="24"/>
        </w:rPr>
        <w:t>ossolos e argissolos, enquanto plintossolos e p</w:t>
      </w:r>
      <w:r w:rsidRPr="000E7AC8">
        <w:rPr>
          <w:rFonts w:ascii="Arial" w:eastAsia="Arial" w:hAnsi="Arial" w:cs="Arial"/>
          <w:sz w:val="24"/>
          <w:szCs w:val="24"/>
        </w:rPr>
        <w:t>etroplínticos (solos com concreções de plintita nas camadas superficiais, ou seja, óxidos de ferro e alumínio) estão restritos, respectivamente, ao Parest do Guariba e Floresta Estadual do Apuí (Figura 9).</w:t>
      </w:r>
    </w:p>
    <w:p w:rsidR="002B7C6D" w:rsidRPr="000E7AC8" w:rsidRDefault="00E75F7D">
      <w:pPr>
        <w:shd w:val="clear" w:color="auto" w:fill="FFFFFF"/>
        <w:spacing w:line="360" w:lineRule="auto"/>
        <w:ind w:firstLine="720"/>
        <w:jc w:val="both"/>
        <w:rPr>
          <w:rFonts w:ascii="Arial" w:eastAsia="Arial" w:hAnsi="Arial" w:cs="Arial"/>
          <w:sz w:val="24"/>
          <w:szCs w:val="24"/>
        </w:rPr>
      </w:pPr>
      <w:r w:rsidRPr="000E7AC8">
        <w:rPr>
          <w:rFonts w:ascii="Arial" w:eastAsia="Arial" w:hAnsi="Arial" w:cs="Arial"/>
          <w:sz w:val="24"/>
          <w:szCs w:val="24"/>
        </w:rPr>
        <w:t>A particularidade do município de Apuí é que a ocupação tem sido, até certo ponto, planejada. A principal atividade econômica da região é a pecuária, que sucede a exploração de madeira ou a queima da floresta.</w:t>
      </w:r>
    </w:p>
    <w:p w:rsidR="002B7C6D" w:rsidRPr="000E7AC8" w:rsidRDefault="00E75F7D">
      <w:pPr>
        <w:shd w:val="clear" w:color="auto" w:fill="FFFFFF"/>
        <w:spacing w:line="360" w:lineRule="auto"/>
        <w:ind w:firstLine="720"/>
        <w:jc w:val="both"/>
        <w:rPr>
          <w:rFonts w:ascii="Arial" w:eastAsia="Arial" w:hAnsi="Arial" w:cs="Arial"/>
          <w:sz w:val="24"/>
          <w:szCs w:val="24"/>
        </w:rPr>
      </w:pPr>
      <w:r w:rsidRPr="000E7AC8">
        <w:rPr>
          <w:rFonts w:ascii="Arial" w:eastAsia="Arial" w:hAnsi="Arial" w:cs="Arial"/>
          <w:sz w:val="24"/>
          <w:szCs w:val="24"/>
        </w:rPr>
        <w:t xml:space="preserve">A agricultura e a silvicultura não são muito desenvolvidas no município de Apuí, e as características do solo não são muito propícias à agricultura extensiva, ainda que </w:t>
      </w:r>
      <w:r w:rsidRPr="000E7AC8">
        <w:rPr>
          <w:rFonts w:ascii="Arial" w:eastAsia="Arial" w:hAnsi="Arial" w:cs="Arial"/>
          <w:sz w:val="24"/>
          <w:szCs w:val="24"/>
        </w:rPr>
        <w:lastRenderedPageBreak/>
        <w:t xml:space="preserve">culturas florestais possam ser economicamente viáveis. Moradores das comunidades do entorno realizam atividades extrativistas de óleo de copaíba, látex de seringa e coleta de castanha, atividades que ocorrem principalmente na Floresta de Apuí. </w:t>
      </w:r>
    </w:p>
    <w:p w:rsidR="002B7C6D" w:rsidRPr="000E7AC8" w:rsidRDefault="00E75F7D">
      <w:pPr>
        <w:shd w:val="clear" w:color="auto" w:fill="FFFFFF"/>
        <w:spacing w:line="360" w:lineRule="auto"/>
        <w:ind w:firstLine="567"/>
        <w:jc w:val="both"/>
        <w:rPr>
          <w:rFonts w:ascii="Arial" w:eastAsia="Arial" w:hAnsi="Arial" w:cs="Arial"/>
          <w:sz w:val="24"/>
          <w:szCs w:val="24"/>
        </w:rPr>
      </w:pPr>
      <w:r w:rsidRPr="000E7AC8">
        <w:rPr>
          <w:rFonts w:ascii="Arial" w:eastAsia="Arial" w:hAnsi="Arial" w:cs="Arial"/>
          <w:sz w:val="24"/>
          <w:szCs w:val="24"/>
        </w:rPr>
        <w:t>Conforme a primeira Revisão do Plano de Gestão do Mosaico de Apuí (2020), foi criada a subzona de uso madeireiro comercial, delimitada em faixa entre as subzonas de uso público, tendo como limite norte e sul a Zona de Preservação, englobando módulo de 40.000,56 ha (Figura 10).</w:t>
      </w:r>
    </w:p>
    <w:p w:rsidR="002B7C6D" w:rsidRPr="000E7AC8" w:rsidRDefault="002B7C6D">
      <w:pPr>
        <w:shd w:val="clear" w:color="auto" w:fill="FFFFFF"/>
        <w:spacing w:line="360" w:lineRule="auto"/>
        <w:ind w:firstLine="567"/>
        <w:jc w:val="both"/>
        <w:rPr>
          <w:rFonts w:ascii="Arial" w:eastAsia="Arial" w:hAnsi="Arial" w:cs="Arial"/>
          <w:sz w:val="24"/>
          <w:szCs w:val="24"/>
        </w:rPr>
      </w:pPr>
    </w:p>
    <w:p w:rsidR="007D5D2E" w:rsidRPr="000E7AC8" w:rsidRDefault="007D5D2E" w:rsidP="007D5D2E">
      <w:pPr>
        <w:pStyle w:val="Legenda"/>
        <w:keepNext/>
        <w:rPr>
          <w:rFonts w:ascii="Arial" w:hAnsi="Arial" w:cs="Arial"/>
          <w:i w:val="0"/>
          <w:color w:val="auto"/>
        </w:rPr>
      </w:pPr>
      <w:bookmarkStart w:id="52" w:name="_Toc180053441"/>
      <w:bookmarkStart w:id="53" w:name="_Toc180054222"/>
      <w:bookmarkStart w:id="54" w:name="_Toc180139789"/>
      <w:r w:rsidRPr="000E7AC8">
        <w:rPr>
          <w:rFonts w:ascii="Arial" w:hAnsi="Arial" w:cs="Arial"/>
          <w:i w:val="0"/>
          <w:color w:val="auto"/>
        </w:rPr>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10</w:t>
      </w:r>
      <w:r w:rsidRPr="000E7AC8">
        <w:rPr>
          <w:rFonts w:ascii="Arial" w:hAnsi="Arial" w:cs="Arial"/>
          <w:i w:val="0"/>
          <w:color w:val="auto"/>
        </w:rPr>
        <w:fldChar w:fldCharType="end"/>
      </w:r>
      <w:r w:rsidRPr="000E7AC8">
        <w:rPr>
          <w:rFonts w:ascii="Arial" w:hAnsi="Arial" w:cs="Arial"/>
          <w:i w:val="0"/>
          <w:color w:val="auto"/>
        </w:rPr>
        <w:t>. Atualização no zoneamento da Floresta Estadual de Apuí.</w:t>
      </w:r>
      <w:bookmarkEnd w:id="52"/>
      <w:bookmarkEnd w:id="53"/>
      <w:bookmarkEnd w:id="54"/>
    </w:p>
    <w:p w:rsidR="002B7C6D" w:rsidRPr="000E7AC8" w:rsidRDefault="00E75F7D">
      <w:pPr>
        <w:shd w:val="clear" w:color="auto" w:fill="FFFFFF"/>
        <w:spacing w:line="360" w:lineRule="auto"/>
        <w:jc w:val="center"/>
        <w:rPr>
          <w:rFonts w:ascii="Arial" w:eastAsia="Arial" w:hAnsi="Arial" w:cs="Arial"/>
          <w:sz w:val="24"/>
          <w:szCs w:val="24"/>
        </w:rPr>
      </w:pPr>
      <w:r w:rsidRPr="000E7AC8">
        <w:rPr>
          <w:rFonts w:ascii="Arial" w:eastAsia="Arial" w:hAnsi="Arial" w:cs="Arial"/>
          <w:noProof/>
          <w:sz w:val="24"/>
          <w:szCs w:val="24"/>
        </w:rPr>
        <w:drawing>
          <wp:inline distT="114300" distB="114300" distL="114300" distR="114300" wp14:anchorId="69AE3375" wp14:editId="5AF8ED17">
            <wp:extent cx="5939480" cy="3263900"/>
            <wp:effectExtent l="0" t="0" r="0" b="0"/>
            <wp:docPr id="160313000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5939480" cy="3263900"/>
                    </a:xfrm>
                    <a:prstGeom prst="rect">
                      <a:avLst/>
                    </a:prstGeom>
                    <a:ln/>
                  </pic:spPr>
                </pic:pic>
              </a:graphicData>
            </a:graphic>
          </wp:inline>
        </w:drawing>
      </w:r>
    </w:p>
    <w:p w:rsidR="002B7C6D" w:rsidRPr="000E7AC8" w:rsidRDefault="002B7C6D">
      <w:pPr>
        <w:shd w:val="clear" w:color="auto" w:fill="FFFFFF"/>
        <w:spacing w:line="360" w:lineRule="auto"/>
        <w:jc w:val="center"/>
        <w:rPr>
          <w:rFonts w:ascii="Arial" w:eastAsia="Arial" w:hAnsi="Arial" w:cs="Arial"/>
          <w:sz w:val="24"/>
          <w:szCs w:val="24"/>
        </w:rPr>
      </w:pPr>
    </w:p>
    <w:p w:rsidR="002B7C6D" w:rsidRPr="000E7AC8" w:rsidRDefault="002B7C6D">
      <w:pPr>
        <w:pStyle w:val="Ttulo3"/>
        <w:rPr>
          <w:rFonts w:ascii="Arial" w:eastAsia="Arial" w:hAnsi="Arial" w:cs="Arial"/>
          <w:color w:val="000000"/>
        </w:rPr>
      </w:pPr>
    </w:p>
    <w:p w:rsidR="002B7C6D" w:rsidRPr="000E7AC8" w:rsidRDefault="00E75F7D">
      <w:pPr>
        <w:pStyle w:val="Ttulo3"/>
        <w:numPr>
          <w:ilvl w:val="2"/>
          <w:numId w:val="5"/>
        </w:numPr>
        <w:ind w:hanging="720"/>
        <w:rPr>
          <w:rFonts w:ascii="Arial" w:eastAsia="Arial" w:hAnsi="Arial" w:cs="Arial"/>
          <w:b/>
          <w:color w:val="38761D"/>
          <w:sz w:val="28"/>
          <w:szCs w:val="28"/>
        </w:rPr>
      </w:pPr>
      <w:r w:rsidRPr="000E7AC8">
        <w:rPr>
          <w:rFonts w:ascii="Arial" w:eastAsia="Arial" w:hAnsi="Arial" w:cs="Arial"/>
          <w:b/>
          <w:color w:val="38761D"/>
          <w:sz w:val="28"/>
          <w:szCs w:val="28"/>
        </w:rPr>
        <w:t xml:space="preserve"> </w:t>
      </w:r>
      <w:bookmarkStart w:id="55" w:name="_Toc180138746"/>
      <w:r w:rsidRPr="000E7AC8">
        <w:rPr>
          <w:rFonts w:ascii="Arial" w:eastAsia="Arial" w:hAnsi="Arial" w:cs="Arial"/>
          <w:b/>
          <w:color w:val="38761D"/>
          <w:sz w:val="28"/>
          <w:szCs w:val="28"/>
        </w:rPr>
        <w:t>Floresta Estadual do Aripuanã</w:t>
      </w:r>
      <w:bookmarkEnd w:id="55"/>
    </w:p>
    <w:p w:rsidR="002B7C6D" w:rsidRPr="000E7AC8" w:rsidRDefault="002B7C6D">
      <w:pPr>
        <w:rPr>
          <w:rFonts w:ascii="Arial" w:eastAsia="Arial" w:hAnsi="Arial" w:cs="Arial"/>
        </w:rPr>
      </w:pPr>
    </w:p>
    <w:p w:rsidR="002B7C6D" w:rsidRPr="000E7AC8" w:rsidRDefault="00E75F7D">
      <w:pPr>
        <w:shd w:val="clear" w:color="auto" w:fill="FFFFFF"/>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Criada pelo Decreto Estadual nº 24.807/2005, a Floresta Estadual do Aripuanã possui uma área territorial de aproximadamente 336.040,065 ha. A região da Floresta abrange o município de Apuí, nas proximidades dos Parques Nacionais do Juruena e </w:t>
      </w:r>
      <w:r w:rsidRPr="000E7AC8">
        <w:rPr>
          <w:rFonts w:ascii="Arial" w:eastAsia="Arial" w:hAnsi="Arial" w:cs="Arial"/>
          <w:sz w:val="24"/>
          <w:szCs w:val="24"/>
        </w:rPr>
        <w:lastRenderedPageBreak/>
        <w:t>dos Campos Amazônicos, próximos às regiões onde há forte pressão de desmatamento ocasionada pela expansão da fronteira agrícola sobre a Amazônia brasileira (Figura 11).</w:t>
      </w:r>
    </w:p>
    <w:p w:rsidR="002B7C6D" w:rsidRPr="000E7AC8" w:rsidRDefault="002B7C6D">
      <w:pPr>
        <w:shd w:val="clear" w:color="auto" w:fill="FFFFFF"/>
        <w:spacing w:line="360" w:lineRule="auto"/>
        <w:ind w:firstLine="709"/>
        <w:jc w:val="both"/>
        <w:rPr>
          <w:rFonts w:ascii="Arial" w:eastAsia="Arial" w:hAnsi="Arial" w:cs="Arial"/>
        </w:rPr>
      </w:pPr>
    </w:p>
    <w:p w:rsidR="007D5D2E" w:rsidRPr="000E7AC8" w:rsidRDefault="007D5D2E" w:rsidP="007D5D2E">
      <w:pPr>
        <w:pStyle w:val="Legenda"/>
        <w:keepNext/>
        <w:rPr>
          <w:rFonts w:ascii="Arial" w:hAnsi="Arial" w:cs="Arial"/>
          <w:i w:val="0"/>
          <w:color w:val="auto"/>
        </w:rPr>
      </w:pPr>
      <w:bookmarkStart w:id="56" w:name="_heading=h.3bpla0nigns6" w:colFirst="0" w:colLast="0"/>
      <w:bookmarkStart w:id="57" w:name="_Toc180053442"/>
      <w:bookmarkStart w:id="58" w:name="_Toc180054223"/>
      <w:bookmarkStart w:id="59" w:name="_Toc180139790"/>
      <w:bookmarkEnd w:id="56"/>
      <w:r w:rsidRPr="000E7AC8">
        <w:rPr>
          <w:rFonts w:ascii="Arial" w:hAnsi="Arial" w:cs="Arial"/>
          <w:i w:val="0"/>
          <w:color w:val="auto"/>
        </w:rPr>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11</w:t>
      </w:r>
      <w:r w:rsidRPr="000E7AC8">
        <w:rPr>
          <w:rFonts w:ascii="Arial" w:hAnsi="Arial" w:cs="Arial"/>
          <w:i w:val="0"/>
          <w:color w:val="auto"/>
        </w:rPr>
        <w:fldChar w:fldCharType="end"/>
      </w:r>
      <w:r w:rsidRPr="000E7AC8">
        <w:rPr>
          <w:rFonts w:ascii="Arial" w:hAnsi="Arial" w:cs="Arial"/>
          <w:i w:val="0"/>
          <w:color w:val="auto"/>
        </w:rPr>
        <w:t>. Mapa de abrangência da Floresta Estadual de Aripuanã.</w:t>
      </w:r>
      <w:bookmarkEnd w:id="57"/>
      <w:bookmarkEnd w:id="58"/>
      <w:bookmarkEnd w:id="59"/>
    </w:p>
    <w:p w:rsidR="002B7C6D" w:rsidRPr="000E7AC8" w:rsidRDefault="00E75F7D">
      <w:pPr>
        <w:spacing w:after="200"/>
        <w:rPr>
          <w:rFonts w:ascii="Arial" w:eastAsia="Arial" w:hAnsi="Arial" w:cs="Arial"/>
          <w:sz w:val="24"/>
          <w:szCs w:val="24"/>
        </w:rPr>
      </w:pPr>
      <w:r w:rsidRPr="000E7AC8">
        <w:rPr>
          <w:rFonts w:ascii="Arial" w:eastAsia="Arial" w:hAnsi="Arial" w:cs="Arial"/>
          <w:noProof/>
          <w:sz w:val="24"/>
          <w:szCs w:val="24"/>
        </w:rPr>
        <w:drawing>
          <wp:inline distT="0" distB="0" distL="0" distR="0" wp14:anchorId="1AAC602D" wp14:editId="61F26980">
            <wp:extent cx="5939790" cy="4203065"/>
            <wp:effectExtent l="0" t="0" r="0" b="0"/>
            <wp:docPr id="160313000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l="6" r="6"/>
                    <a:stretch>
                      <a:fillRect/>
                    </a:stretch>
                  </pic:blipFill>
                  <pic:spPr>
                    <a:xfrm>
                      <a:off x="0" y="0"/>
                      <a:ext cx="5939790" cy="4203065"/>
                    </a:xfrm>
                    <a:prstGeom prst="rect">
                      <a:avLst/>
                    </a:prstGeom>
                    <a:ln/>
                  </pic:spPr>
                </pic:pic>
              </a:graphicData>
            </a:graphic>
          </wp:inline>
        </w:drawing>
      </w:r>
    </w:p>
    <w:p w:rsidR="002B7C6D" w:rsidRPr="000E7AC8" w:rsidRDefault="00E75F7D">
      <w:pPr>
        <w:shd w:val="clear" w:color="auto" w:fill="FFFFFF"/>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Em relação a geomorfologia, ocorre a formação de Planaltos Residuais do Ji-Paraná-Aripuanã e Planaltos Residuais do Madeira-Roosevelt na porção sul da floresta. O extrativismo de óleo de copaíba, látex e castanha é realizado nas áreas ao longo dos rios Aripuanã e Guariba, tanto na área do entorno do Mosaico como na RDS do Aripuanã e partes da Floresta do Aripuanã. </w:t>
      </w:r>
    </w:p>
    <w:p w:rsidR="002B7C6D" w:rsidRPr="000E7AC8" w:rsidRDefault="00E75F7D">
      <w:pPr>
        <w:shd w:val="clear" w:color="auto" w:fill="FFFFFF"/>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Conforme consta no Plano de Gestão do Mosaico de Unidades de Conservação do Apuí (2010), o extrativismo é realizado nas áreas ao longo dos rios Aripuanã e </w:t>
      </w:r>
      <w:r w:rsidRPr="000E7AC8">
        <w:rPr>
          <w:rFonts w:ascii="Arial" w:eastAsia="Arial" w:hAnsi="Arial" w:cs="Arial"/>
          <w:sz w:val="24"/>
          <w:szCs w:val="24"/>
        </w:rPr>
        <w:lastRenderedPageBreak/>
        <w:t>Guariba, tanto na área do entorno do Mosaico como em algumas áreas da Floresta do Aripuanã.</w:t>
      </w:r>
    </w:p>
    <w:p w:rsidR="002B7C6D" w:rsidRPr="000E7AC8" w:rsidRDefault="007D5D2E">
      <w:pPr>
        <w:shd w:val="clear" w:color="auto" w:fill="FFFFFF"/>
        <w:spacing w:line="360" w:lineRule="auto"/>
        <w:ind w:firstLine="709"/>
        <w:jc w:val="both"/>
        <w:rPr>
          <w:rFonts w:ascii="Arial" w:eastAsia="Arial" w:hAnsi="Arial" w:cs="Arial"/>
          <w:sz w:val="24"/>
          <w:szCs w:val="24"/>
        </w:rPr>
      </w:pPr>
      <w:r w:rsidRPr="000E7AC8">
        <w:rPr>
          <w:rFonts w:ascii="Arial" w:hAnsi="Arial" w:cs="Arial"/>
          <w:noProof/>
        </w:rPr>
        <w:drawing>
          <wp:anchor distT="0" distB="0" distL="114300" distR="114300" simplePos="0" relativeHeight="251671552" behindDoc="0" locked="0" layoutInCell="1" hidden="0" allowOverlap="1" wp14:anchorId="2BC63475" wp14:editId="6DD747FD">
            <wp:simplePos x="0" y="0"/>
            <wp:positionH relativeFrom="column">
              <wp:posOffset>78105</wp:posOffset>
            </wp:positionH>
            <wp:positionV relativeFrom="paragraph">
              <wp:posOffset>1421130</wp:posOffset>
            </wp:positionV>
            <wp:extent cx="5888579" cy="3274578"/>
            <wp:effectExtent l="0" t="0" r="0" b="0"/>
            <wp:wrapTopAndBottom distT="0" distB="0"/>
            <wp:docPr id="160312999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a:srcRect/>
                    <a:stretch>
                      <a:fillRect/>
                    </a:stretch>
                  </pic:blipFill>
                  <pic:spPr>
                    <a:xfrm>
                      <a:off x="0" y="0"/>
                      <a:ext cx="5888579" cy="3274578"/>
                    </a:xfrm>
                    <a:prstGeom prst="rect">
                      <a:avLst/>
                    </a:prstGeom>
                    <a:ln/>
                  </pic:spPr>
                </pic:pic>
              </a:graphicData>
            </a:graphic>
          </wp:anchor>
        </w:drawing>
      </w:r>
      <w:r w:rsidR="00E75F7D" w:rsidRPr="000E7AC8">
        <w:rPr>
          <w:rFonts w:ascii="Arial" w:eastAsia="Arial" w:hAnsi="Arial" w:cs="Arial"/>
          <w:sz w:val="24"/>
          <w:szCs w:val="24"/>
        </w:rPr>
        <w:t xml:space="preserve">A subzona de uso madeireiro comercial possui cerca de 207.185,68 ha de áreas destinadas a esta finalidade. Após a primeira Revisão do Plano de Gestão do Mosaico do Apuí, apenas a zona conflitiva foi retirada do zoneamento, por não haver mais atividade de ocupação (Figura 12). </w:t>
      </w:r>
    </w:p>
    <w:p w:rsidR="007D5D2E" w:rsidRPr="000E7AC8" w:rsidRDefault="007D5D2E">
      <w:pPr>
        <w:pBdr>
          <w:top w:val="nil"/>
          <w:left w:val="nil"/>
          <w:bottom w:val="nil"/>
          <w:right w:val="nil"/>
          <w:between w:val="nil"/>
        </w:pBdr>
        <w:spacing w:after="200"/>
        <w:rPr>
          <w:rFonts w:ascii="Arial" w:eastAsia="Arial" w:hAnsi="Arial" w:cs="Arial"/>
          <w:color w:val="000000"/>
          <w:sz w:val="18"/>
          <w:szCs w:val="18"/>
        </w:rPr>
      </w:pPr>
    </w:p>
    <w:p w:rsidR="002B7C6D" w:rsidRPr="000E7AC8" w:rsidRDefault="007D5D2E" w:rsidP="00D42779">
      <w:pPr>
        <w:pStyle w:val="Ttulo3"/>
        <w:numPr>
          <w:ilvl w:val="2"/>
          <w:numId w:val="5"/>
        </w:numPr>
        <w:ind w:hanging="720"/>
        <w:rPr>
          <w:rFonts w:ascii="Arial" w:eastAsia="Arial" w:hAnsi="Arial" w:cs="Arial"/>
          <w:b/>
          <w:color w:val="38761D"/>
          <w:sz w:val="28"/>
          <w:szCs w:val="28"/>
        </w:rPr>
      </w:pPr>
      <w:bookmarkStart w:id="60" w:name="_Toc180138747"/>
      <w:r w:rsidRPr="000E7AC8">
        <w:rPr>
          <w:rFonts w:ascii="Arial" w:eastAsia="Arial" w:hAnsi="Arial" w:cs="Arial"/>
          <w:b/>
          <w:noProof/>
          <w:color w:val="38761D"/>
          <w:sz w:val="28"/>
          <w:szCs w:val="28"/>
        </w:rPr>
        <mc:AlternateContent>
          <mc:Choice Requires="wps">
            <w:drawing>
              <wp:anchor distT="0" distB="0" distL="114300" distR="114300" simplePos="0" relativeHeight="251670528" behindDoc="0" locked="0" layoutInCell="1" allowOverlap="1" wp14:anchorId="76F1ACCB" wp14:editId="307ED990">
                <wp:simplePos x="0" y="0"/>
                <wp:positionH relativeFrom="column">
                  <wp:posOffset>207645</wp:posOffset>
                </wp:positionH>
                <wp:positionV relativeFrom="paragraph">
                  <wp:posOffset>-146050</wp:posOffset>
                </wp:positionV>
                <wp:extent cx="5888355" cy="457200"/>
                <wp:effectExtent l="0" t="0" r="0" b="0"/>
                <wp:wrapTopAndBottom/>
                <wp:docPr id="1" name="Caixa de Texto 1"/>
                <wp:cNvGraphicFramePr/>
                <a:graphic xmlns:a="http://schemas.openxmlformats.org/drawingml/2006/main">
                  <a:graphicData uri="http://schemas.microsoft.com/office/word/2010/wordprocessingShape">
                    <wps:wsp>
                      <wps:cNvSpPr txBox="1"/>
                      <wps:spPr>
                        <a:xfrm>
                          <a:off x="0" y="0"/>
                          <a:ext cx="5888355" cy="457200"/>
                        </a:xfrm>
                        <a:prstGeom prst="rect">
                          <a:avLst/>
                        </a:prstGeom>
                        <a:solidFill>
                          <a:prstClr val="white"/>
                        </a:solidFill>
                        <a:ln>
                          <a:noFill/>
                        </a:ln>
                      </wps:spPr>
                      <wps:txbx>
                        <w:txbxContent>
                          <w:p w:rsidR="00CA56D3" w:rsidRPr="007D5D2E" w:rsidRDefault="00CA56D3" w:rsidP="007D5D2E">
                            <w:pPr>
                              <w:pStyle w:val="Legenda"/>
                              <w:rPr>
                                <w:rFonts w:ascii="Arial" w:eastAsia="Arial" w:hAnsi="Arial" w:cs="Arial"/>
                                <w:i w:val="0"/>
                                <w:color w:val="auto"/>
                              </w:rPr>
                            </w:pPr>
                            <w:bookmarkStart w:id="61" w:name="_Toc180053443"/>
                            <w:bookmarkStart w:id="62" w:name="_Toc180054224"/>
                            <w:bookmarkStart w:id="63" w:name="_Toc180139791"/>
                            <w:r w:rsidRPr="007D5D2E">
                              <w:rPr>
                                <w:rFonts w:ascii="Arial" w:hAnsi="Arial" w:cs="Arial"/>
                                <w:i w:val="0"/>
                                <w:color w:val="auto"/>
                              </w:rPr>
                              <w:t xml:space="preserve">Figura </w:t>
                            </w:r>
                            <w:r w:rsidRPr="007D5D2E">
                              <w:rPr>
                                <w:rFonts w:ascii="Arial" w:hAnsi="Arial" w:cs="Arial"/>
                                <w:i w:val="0"/>
                                <w:color w:val="auto"/>
                              </w:rPr>
                              <w:fldChar w:fldCharType="begin"/>
                            </w:r>
                            <w:r w:rsidRPr="007D5D2E">
                              <w:rPr>
                                <w:rFonts w:ascii="Arial" w:hAnsi="Arial" w:cs="Arial"/>
                                <w:i w:val="0"/>
                                <w:color w:val="auto"/>
                              </w:rPr>
                              <w:instrText xml:space="preserve"> SEQ Figura \* ARABIC </w:instrText>
                            </w:r>
                            <w:r w:rsidRPr="007D5D2E">
                              <w:rPr>
                                <w:rFonts w:ascii="Arial" w:hAnsi="Arial" w:cs="Arial"/>
                                <w:i w:val="0"/>
                                <w:color w:val="auto"/>
                              </w:rPr>
                              <w:fldChar w:fldCharType="separate"/>
                            </w:r>
                            <w:r>
                              <w:rPr>
                                <w:rFonts w:ascii="Arial" w:hAnsi="Arial" w:cs="Arial"/>
                                <w:i w:val="0"/>
                                <w:noProof/>
                                <w:color w:val="auto"/>
                              </w:rPr>
                              <w:t>12</w:t>
                            </w:r>
                            <w:r w:rsidRPr="007D5D2E">
                              <w:rPr>
                                <w:rFonts w:ascii="Arial" w:hAnsi="Arial" w:cs="Arial"/>
                                <w:i w:val="0"/>
                                <w:color w:val="auto"/>
                              </w:rPr>
                              <w:fldChar w:fldCharType="end"/>
                            </w:r>
                            <w:r w:rsidRPr="007D5D2E">
                              <w:rPr>
                                <w:rFonts w:ascii="Arial" w:hAnsi="Arial" w:cs="Arial"/>
                                <w:i w:val="0"/>
                                <w:color w:val="auto"/>
                              </w:rPr>
                              <w:t>. Atualização no zoneamento da Floresta Estadual do Aripuanã</w:t>
                            </w:r>
                            <w:r>
                              <w:rPr>
                                <w:rFonts w:ascii="Arial" w:hAnsi="Arial" w:cs="Arial"/>
                                <w:i w:val="0"/>
                                <w:color w:val="auto"/>
                              </w:rPr>
                              <w:t>.</w:t>
                            </w:r>
                            <w:bookmarkEnd w:id="61"/>
                            <w:bookmarkEnd w:id="62"/>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76F1ACCB" id="_x0000_t202" coordsize="21600,21600" o:spt="202" path="m,l,21600r21600,l21600,xe">
                <v:stroke joinstyle="miter"/>
                <v:path gradientshapeok="t" o:connecttype="rect"/>
              </v:shapetype>
              <v:shape id="Caixa de Texto 1" o:spid="_x0000_s1026" type="#_x0000_t202" style="position:absolute;left:0;text-align:left;margin-left:16.35pt;margin-top:-11.5pt;width:463.65pt;height:36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" stroked="f">
                <v:textbox inset="0,0,0,0">
                  <w:txbxContent>
                    <w:p w:rsidR="00CA56D3" w:rsidRPr="007D5D2E" w:rsidRDefault="00CA56D3" w:rsidP="007D5D2E">
                      <w:pPr>
                        <w:pStyle w:val="Legenda"/>
                        <w:rPr>
                          <w:rFonts w:ascii="Arial" w:eastAsia="Arial" w:hAnsi="Arial" w:cs="Arial"/>
                          <w:i w:val="0"/>
                          <w:color w:val="auto"/>
                        </w:rPr>
                      </w:pPr>
                      <w:bookmarkStart w:id="64" w:name="_Toc180053443"/>
                      <w:bookmarkStart w:id="65" w:name="_Toc180054224"/>
                      <w:bookmarkStart w:id="66" w:name="_Toc180139791"/>
                      <w:r w:rsidRPr="007D5D2E">
                        <w:rPr>
                          <w:rFonts w:ascii="Arial" w:hAnsi="Arial" w:cs="Arial"/>
                          <w:i w:val="0"/>
                          <w:color w:val="auto"/>
                        </w:rPr>
                        <w:t xml:space="preserve">Figura </w:t>
                      </w:r>
                      <w:r w:rsidRPr="007D5D2E">
                        <w:rPr>
                          <w:rFonts w:ascii="Arial" w:hAnsi="Arial" w:cs="Arial"/>
                          <w:i w:val="0"/>
                          <w:color w:val="auto"/>
                        </w:rPr>
                        <w:fldChar w:fldCharType="begin"/>
                      </w:r>
                      <w:r w:rsidRPr="007D5D2E">
                        <w:rPr>
                          <w:rFonts w:ascii="Arial" w:hAnsi="Arial" w:cs="Arial"/>
                          <w:i w:val="0"/>
                          <w:color w:val="auto"/>
                        </w:rPr>
                        <w:instrText xml:space="preserve"> SEQ Figura \* ARABIC </w:instrText>
                      </w:r>
                      <w:r w:rsidRPr="007D5D2E">
                        <w:rPr>
                          <w:rFonts w:ascii="Arial" w:hAnsi="Arial" w:cs="Arial"/>
                          <w:i w:val="0"/>
                          <w:color w:val="auto"/>
                        </w:rPr>
                        <w:fldChar w:fldCharType="separate"/>
                      </w:r>
                      <w:r>
                        <w:rPr>
                          <w:rFonts w:ascii="Arial" w:hAnsi="Arial" w:cs="Arial"/>
                          <w:i w:val="0"/>
                          <w:noProof/>
                          <w:color w:val="auto"/>
                        </w:rPr>
                        <w:t>12</w:t>
                      </w:r>
                      <w:r w:rsidRPr="007D5D2E">
                        <w:rPr>
                          <w:rFonts w:ascii="Arial" w:hAnsi="Arial" w:cs="Arial"/>
                          <w:i w:val="0"/>
                          <w:color w:val="auto"/>
                        </w:rPr>
                        <w:fldChar w:fldCharType="end"/>
                      </w:r>
                      <w:r w:rsidRPr="007D5D2E">
                        <w:rPr>
                          <w:rFonts w:ascii="Arial" w:hAnsi="Arial" w:cs="Arial"/>
                          <w:i w:val="0"/>
                          <w:color w:val="auto"/>
                        </w:rPr>
                        <w:t>. Atualização no zoneamento da Floresta Estadual do Aripuanã</w:t>
                      </w:r>
                      <w:r>
                        <w:rPr>
                          <w:rFonts w:ascii="Arial" w:hAnsi="Arial" w:cs="Arial"/>
                          <w:i w:val="0"/>
                          <w:color w:val="auto"/>
                        </w:rPr>
                        <w:t>.</w:t>
                      </w:r>
                      <w:bookmarkEnd w:id="64"/>
                      <w:bookmarkEnd w:id="65"/>
                      <w:bookmarkEnd w:id="66"/>
                    </w:p>
                  </w:txbxContent>
                </v:textbox>
                <w10:wrap type="topAndBottom"/>
              </v:shape>
            </w:pict>
          </mc:Fallback>
        </mc:AlternateContent>
      </w:r>
      <w:r w:rsidR="00D42779" w:rsidRPr="000E7AC8">
        <w:rPr>
          <w:rFonts w:ascii="Arial" w:eastAsia="Arial" w:hAnsi="Arial" w:cs="Arial"/>
          <w:b/>
          <w:color w:val="38761D"/>
          <w:sz w:val="28"/>
          <w:szCs w:val="28"/>
        </w:rPr>
        <w:t xml:space="preserve"> </w:t>
      </w:r>
      <w:r w:rsidR="00E75F7D" w:rsidRPr="000E7AC8">
        <w:rPr>
          <w:rFonts w:ascii="Arial" w:eastAsia="Arial" w:hAnsi="Arial" w:cs="Arial"/>
          <w:b/>
          <w:color w:val="38761D"/>
          <w:sz w:val="28"/>
          <w:szCs w:val="28"/>
        </w:rPr>
        <w:t>Floresta Estadual de Manicoré</w:t>
      </w:r>
      <w:bookmarkEnd w:id="60"/>
    </w:p>
    <w:p w:rsidR="002B7C6D" w:rsidRPr="000E7AC8" w:rsidRDefault="002B7C6D">
      <w:pPr>
        <w:rPr>
          <w:rFonts w:ascii="Arial" w:eastAsia="Arial" w:hAnsi="Arial" w:cs="Arial"/>
        </w:rPr>
      </w:pPr>
    </w:p>
    <w:p w:rsidR="002B7C6D" w:rsidRPr="000E7AC8" w:rsidRDefault="00E75F7D">
      <w:pPr>
        <w:shd w:val="clear" w:color="auto" w:fill="FFFFFF"/>
        <w:spacing w:line="360" w:lineRule="auto"/>
        <w:ind w:firstLine="709"/>
        <w:jc w:val="both"/>
        <w:rPr>
          <w:rFonts w:ascii="Arial" w:eastAsia="Arial" w:hAnsi="Arial" w:cs="Arial"/>
          <w:sz w:val="24"/>
          <w:szCs w:val="24"/>
        </w:rPr>
      </w:pPr>
      <w:r w:rsidRPr="000E7AC8">
        <w:rPr>
          <w:rFonts w:ascii="Arial" w:eastAsia="Arial" w:hAnsi="Arial" w:cs="Arial"/>
          <w:sz w:val="24"/>
          <w:szCs w:val="24"/>
        </w:rPr>
        <w:t>A Floresta Estadual de Manicoré, localizada no município de Novo Aripuanã, possui uma área de aproximadamente 83.381,03 ha. Foi criada p</w:t>
      </w:r>
      <w:r w:rsidR="0047527C">
        <w:rPr>
          <w:rFonts w:ascii="Arial" w:eastAsia="Arial" w:hAnsi="Arial" w:cs="Arial"/>
          <w:sz w:val="24"/>
          <w:szCs w:val="24"/>
        </w:rPr>
        <w:t>elo Decreto nº 24.806/2005 e o Conselho G</w:t>
      </w:r>
      <w:r w:rsidRPr="000E7AC8">
        <w:rPr>
          <w:rFonts w:ascii="Arial" w:eastAsia="Arial" w:hAnsi="Arial" w:cs="Arial"/>
          <w:sz w:val="24"/>
          <w:szCs w:val="24"/>
        </w:rPr>
        <w:t>estor estabelecido pela Portaria nº 55/2010, sendo sua gestão integrada ao Plano de Gestão do Mosaico de Unidades de Conservação do Apuí. (Figura 13).</w:t>
      </w:r>
    </w:p>
    <w:p w:rsidR="002B7C6D" w:rsidRPr="000E7AC8" w:rsidRDefault="002B7C6D">
      <w:pPr>
        <w:pBdr>
          <w:top w:val="nil"/>
          <w:left w:val="nil"/>
          <w:bottom w:val="nil"/>
          <w:right w:val="nil"/>
          <w:between w:val="nil"/>
        </w:pBdr>
        <w:spacing w:after="200"/>
        <w:rPr>
          <w:rFonts w:ascii="Arial" w:eastAsia="Arial" w:hAnsi="Arial" w:cs="Arial"/>
          <w:i/>
          <w:color w:val="000000"/>
          <w:sz w:val="18"/>
          <w:szCs w:val="18"/>
        </w:rPr>
      </w:pPr>
    </w:p>
    <w:p w:rsidR="007D5D2E" w:rsidRPr="000E7AC8" w:rsidRDefault="007D5D2E" w:rsidP="007D5D2E">
      <w:pPr>
        <w:pStyle w:val="Legenda"/>
        <w:keepNext/>
        <w:rPr>
          <w:rFonts w:ascii="Arial" w:hAnsi="Arial" w:cs="Arial"/>
          <w:i w:val="0"/>
          <w:color w:val="auto"/>
        </w:rPr>
      </w:pPr>
      <w:bookmarkStart w:id="67" w:name="_heading=h.ues16y8n0j3x" w:colFirst="0" w:colLast="0"/>
      <w:bookmarkStart w:id="68" w:name="_Toc180053444"/>
      <w:bookmarkStart w:id="69" w:name="_Toc180054225"/>
      <w:bookmarkStart w:id="70" w:name="_Toc180139792"/>
      <w:bookmarkEnd w:id="67"/>
      <w:r w:rsidRPr="000E7AC8">
        <w:rPr>
          <w:rFonts w:ascii="Arial" w:hAnsi="Arial" w:cs="Arial"/>
          <w:i w:val="0"/>
          <w:color w:val="auto"/>
        </w:rPr>
        <w:lastRenderedPageBreak/>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13</w:t>
      </w:r>
      <w:r w:rsidRPr="000E7AC8">
        <w:rPr>
          <w:rFonts w:ascii="Arial" w:hAnsi="Arial" w:cs="Arial"/>
          <w:i w:val="0"/>
          <w:color w:val="auto"/>
        </w:rPr>
        <w:fldChar w:fldCharType="end"/>
      </w:r>
      <w:r w:rsidRPr="000E7AC8">
        <w:rPr>
          <w:rFonts w:ascii="Arial" w:hAnsi="Arial" w:cs="Arial"/>
          <w:i w:val="0"/>
          <w:color w:val="auto"/>
        </w:rPr>
        <w:t>. Mapa de abrangência da Floresta Estadual de Manicoré.</w:t>
      </w:r>
      <w:bookmarkEnd w:id="68"/>
      <w:bookmarkEnd w:id="69"/>
      <w:bookmarkEnd w:id="70"/>
    </w:p>
    <w:p w:rsidR="002B7C6D" w:rsidRPr="000E7AC8" w:rsidRDefault="00E75F7D">
      <w:pPr>
        <w:spacing w:after="200"/>
        <w:jc w:val="center"/>
        <w:rPr>
          <w:rFonts w:ascii="Arial" w:eastAsia="Arial" w:hAnsi="Arial" w:cs="Arial"/>
          <w:sz w:val="24"/>
          <w:szCs w:val="24"/>
        </w:rPr>
      </w:pPr>
      <w:r w:rsidRPr="000E7AC8">
        <w:rPr>
          <w:rFonts w:ascii="Arial" w:eastAsia="Arial" w:hAnsi="Arial" w:cs="Arial"/>
          <w:noProof/>
          <w:sz w:val="24"/>
          <w:szCs w:val="24"/>
        </w:rPr>
        <w:drawing>
          <wp:inline distT="0" distB="0" distL="0" distR="0" wp14:anchorId="0D6D3FDC" wp14:editId="33378688">
            <wp:extent cx="5939790" cy="4203065"/>
            <wp:effectExtent l="0" t="0" r="0" b="0"/>
            <wp:docPr id="160313000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6"/>
                    <a:srcRect l="6" r="6"/>
                    <a:stretch>
                      <a:fillRect/>
                    </a:stretch>
                  </pic:blipFill>
                  <pic:spPr>
                    <a:xfrm>
                      <a:off x="0" y="0"/>
                      <a:ext cx="5939790" cy="4203065"/>
                    </a:xfrm>
                    <a:prstGeom prst="rect">
                      <a:avLst/>
                    </a:prstGeom>
                    <a:ln/>
                  </pic:spPr>
                </pic:pic>
              </a:graphicData>
            </a:graphic>
          </wp:inline>
        </w:drawing>
      </w:r>
    </w:p>
    <w:p w:rsidR="002B7C6D" w:rsidRPr="000E7AC8" w:rsidRDefault="00E75F7D">
      <w:pPr>
        <w:shd w:val="clear" w:color="auto" w:fill="FFFFFF"/>
        <w:spacing w:line="360" w:lineRule="auto"/>
        <w:ind w:firstLine="709"/>
        <w:jc w:val="both"/>
        <w:rPr>
          <w:rFonts w:ascii="Arial" w:eastAsia="Arial" w:hAnsi="Arial" w:cs="Arial"/>
        </w:rPr>
      </w:pPr>
      <w:r w:rsidRPr="000E7AC8">
        <w:rPr>
          <w:rFonts w:ascii="Arial" w:eastAsia="Arial" w:hAnsi="Arial" w:cs="Arial"/>
          <w:sz w:val="24"/>
          <w:szCs w:val="24"/>
        </w:rPr>
        <w:t>Na Floresta de Manicoré ocorre a formação de solos arenosos, predominantemente arenitos e conglomerados, a Formação Palmeiral, e duas pequenas áreas de Planaltos Residuais do Ji-Paraná-Aripuanã. Na perspec</w:t>
      </w:r>
      <w:r w:rsidR="0047527C">
        <w:rPr>
          <w:rFonts w:ascii="Arial" w:eastAsia="Arial" w:hAnsi="Arial" w:cs="Arial"/>
          <w:sz w:val="24"/>
          <w:szCs w:val="24"/>
        </w:rPr>
        <w:t>tiva econômica, os usuários do M</w:t>
      </w:r>
      <w:r w:rsidRPr="000E7AC8">
        <w:rPr>
          <w:rFonts w:ascii="Arial" w:eastAsia="Arial" w:hAnsi="Arial" w:cs="Arial"/>
          <w:sz w:val="24"/>
          <w:szCs w:val="24"/>
        </w:rPr>
        <w:t>osaico apostam na garantia de resultados advindos da e</w:t>
      </w:r>
      <w:r w:rsidR="0047527C">
        <w:rPr>
          <w:rFonts w:ascii="Arial" w:eastAsia="Arial" w:hAnsi="Arial" w:cs="Arial"/>
          <w:sz w:val="24"/>
          <w:szCs w:val="24"/>
        </w:rPr>
        <w:t>xploração florestal comercial</w:t>
      </w:r>
      <w:r w:rsidRPr="000E7AC8">
        <w:rPr>
          <w:rFonts w:ascii="Arial" w:eastAsia="Arial" w:hAnsi="Arial" w:cs="Arial"/>
          <w:sz w:val="24"/>
          <w:szCs w:val="24"/>
        </w:rPr>
        <w:t>.</w:t>
      </w:r>
    </w:p>
    <w:p w:rsidR="002B7C6D" w:rsidRPr="000E7AC8" w:rsidRDefault="00E75F7D">
      <w:pPr>
        <w:shd w:val="clear" w:color="auto" w:fill="FFFFFF"/>
        <w:spacing w:line="360" w:lineRule="auto"/>
        <w:ind w:firstLine="709"/>
        <w:jc w:val="both"/>
        <w:rPr>
          <w:rFonts w:ascii="Arial" w:eastAsia="Arial" w:hAnsi="Arial" w:cs="Arial"/>
          <w:sz w:val="24"/>
          <w:szCs w:val="24"/>
        </w:rPr>
      </w:pPr>
      <w:r w:rsidRPr="000E7AC8">
        <w:rPr>
          <w:rFonts w:ascii="Arial" w:eastAsia="Arial" w:hAnsi="Arial" w:cs="Arial"/>
          <w:sz w:val="24"/>
          <w:szCs w:val="24"/>
        </w:rPr>
        <w:t>Destaca-se a presença de grandes produtores rurais na região Sul de Lá</w:t>
      </w:r>
      <w:r w:rsidR="0047527C">
        <w:rPr>
          <w:rFonts w:ascii="Arial" w:eastAsia="Arial" w:hAnsi="Arial" w:cs="Arial"/>
          <w:sz w:val="24"/>
          <w:szCs w:val="24"/>
        </w:rPr>
        <w:t>brea e Boca do Acre, e próximo à</w:t>
      </w:r>
      <w:r w:rsidRPr="000E7AC8">
        <w:rPr>
          <w:rFonts w:ascii="Arial" w:eastAsia="Arial" w:hAnsi="Arial" w:cs="Arial"/>
          <w:sz w:val="24"/>
          <w:szCs w:val="24"/>
        </w:rPr>
        <w:t xml:space="preserve"> BR-230 (em Manicoré e Apuí). A distância mínima da Rodovia do Estanho aos limites do Mosaico de Apuí é de 10 km. No entanto, já existem vários carreadores que chegam à área do</w:t>
      </w:r>
      <w:r w:rsidR="0047527C">
        <w:rPr>
          <w:rFonts w:ascii="Arial" w:eastAsia="Arial" w:hAnsi="Arial" w:cs="Arial"/>
          <w:sz w:val="24"/>
          <w:szCs w:val="24"/>
        </w:rPr>
        <w:t xml:space="preserve"> Mosaico (Floresta de Manicoré)</w:t>
      </w:r>
      <w:r w:rsidRPr="000E7AC8">
        <w:rPr>
          <w:rFonts w:ascii="Arial" w:eastAsia="Arial" w:hAnsi="Arial" w:cs="Arial"/>
          <w:sz w:val="24"/>
          <w:szCs w:val="24"/>
        </w:rPr>
        <w:t xml:space="preserve"> partindo do garimpo de cassiterita</w:t>
      </w:r>
      <w:r w:rsidR="0047527C">
        <w:rPr>
          <w:rFonts w:ascii="Arial" w:eastAsia="Arial" w:hAnsi="Arial" w:cs="Arial"/>
          <w:sz w:val="24"/>
          <w:szCs w:val="24"/>
        </w:rPr>
        <w:t>,</w:t>
      </w:r>
      <w:r w:rsidRPr="000E7AC8">
        <w:rPr>
          <w:rFonts w:ascii="Arial" w:eastAsia="Arial" w:hAnsi="Arial" w:cs="Arial"/>
          <w:sz w:val="24"/>
          <w:szCs w:val="24"/>
        </w:rPr>
        <w:t xml:space="preserve"> na Terra Indígena (TI)</w:t>
      </w:r>
      <w:r w:rsidRPr="000E7AC8">
        <w:rPr>
          <w:rFonts w:ascii="Arial" w:eastAsia="Arial" w:hAnsi="Arial" w:cs="Arial"/>
          <w:sz w:val="16"/>
          <w:szCs w:val="16"/>
        </w:rPr>
        <w:t xml:space="preserve"> </w:t>
      </w:r>
      <w:r w:rsidRPr="000E7AC8">
        <w:rPr>
          <w:rFonts w:ascii="Arial" w:eastAsia="Arial" w:hAnsi="Arial" w:cs="Arial"/>
          <w:sz w:val="24"/>
          <w:szCs w:val="24"/>
        </w:rPr>
        <w:t xml:space="preserve">Tenharím, do Igarapé Preto ao Norte e, ao Oeste, </w:t>
      </w:r>
      <w:r w:rsidRPr="000E7AC8">
        <w:rPr>
          <w:rFonts w:ascii="Arial" w:eastAsia="Arial" w:hAnsi="Arial" w:cs="Arial"/>
          <w:sz w:val="24"/>
          <w:szCs w:val="24"/>
        </w:rPr>
        <w:lastRenderedPageBreak/>
        <w:t>desde uma madeireira localizada na Rodovia do Estanho. Portanto, embora o acesso via terrestre ao Mosaico seja li</w:t>
      </w:r>
      <w:r w:rsidR="0047527C">
        <w:rPr>
          <w:rFonts w:ascii="Arial" w:eastAsia="Arial" w:hAnsi="Arial" w:cs="Arial"/>
          <w:sz w:val="24"/>
          <w:szCs w:val="24"/>
        </w:rPr>
        <w:t>mitado, existem várias estradas secundárias</w:t>
      </w:r>
      <w:r w:rsidRPr="000E7AC8">
        <w:rPr>
          <w:rFonts w:ascii="Arial" w:eastAsia="Arial" w:hAnsi="Arial" w:cs="Arial"/>
          <w:sz w:val="24"/>
          <w:szCs w:val="24"/>
        </w:rPr>
        <w:t>, sendo que todas elas são provavelmente ilegais e estão correlacionadas com as principais ameaças à gestão ordenada dessa parte do território nacional.</w:t>
      </w:r>
    </w:p>
    <w:p w:rsidR="002B7C6D" w:rsidRPr="000E7AC8" w:rsidRDefault="00E75F7D">
      <w:pPr>
        <w:shd w:val="clear" w:color="auto" w:fill="FFFFFF"/>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Conforme a primeira Revisão do Plano de Gestão do Mosaico, a subzona madeireira comercial foi reduzida devido a ampliação da Zona de Preservação, com cerca de 40.010,87 ha. Além disso, foi ampliada a subzona de extrativista ao longo das várzeas do rio Madeirinha (Figura 14). </w:t>
      </w:r>
    </w:p>
    <w:p w:rsidR="002B7C6D" w:rsidRPr="000E7AC8" w:rsidRDefault="007D5D2E">
      <w:pPr>
        <w:pBdr>
          <w:top w:val="nil"/>
          <w:left w:val="nil"/>
          <w:bottom w:val="nil"/>
          <w:right w:val="nil"/>
          <w:between w:val="nil"/>
        </w:pBdr>
        <w:spacing w:after="200"/>
        <w:rPr>
          <w:rFonts w:ascii="Arial" w:eastAsia="Arial" w:hAnsi="Arial" w:cs="Arial"/>
          <w:color w:val="000000"/>
          <w:sz w:val="24"/>
          <w:szCs w:val="24"/>
        </w:rPr>
      </w:pPr>
      <w:r w:rsidRPr="000E7AC8">
        <w:rPr>
          <w:rFonts w:ascii="Arial" w:hAnsi="Arial" w:cs="Arial"/>
          <w:noProof/>
        </w:rPr>
        <mc:AlternateContent>
          <mc:Choice Requires="wps">
            <w:drawing>
              <wp:anchor distT="0" distB="0" distL="114300" distR="114300" simplePos="0" relativeHeight="251673600" behindDoc="0" locked="0" layoutInCell="1" allowOverlap="1" wp14:anchorId="7430DE4E" wp14:editId="11CD3A71">
                <wp:simplePos x="0" y="0"/>
                <wp:positionH relativeFrom="column">
                  <wp:posOffset>0</wp:posOffset>
                </wp:positionH>
                <wp:positionV relativeFrom="paragraph">
                  <wp:posOffset>0</wp:posOffset>
                </wp:positionV>
                <wp:extent cx="5939155" cy="457200"/>
                <wp:effectExtent l="0" t="0" r="4445" b="0"/>
                <wp:wrapTopAndBottom/>
                <wp:docPr id="2" name="Caixa de Texto 2"/>
                <wp:cNvGraphicFramePr/>
                <a:graphic xmlns:a="http://schemas.openxmlformats.org/drawingml/2006/main">
                  <a:graphicData uri="http://schemas.microsoft.com/office/word/2010/wordprocessingShape">
                    <wps:wsp>
                      <wps:cNvSpPr txBox="1"/>
                      <wps:spPr>
                        <a:xfrm>
                          <a:off x="0" y="0"/>
                          <a:ext cx="5939155" cy="457200"/>
                        </a:xfrm>
                        <a:prstGeom prst="rect">
                          <a:avLst/>
                        </a:prstGeom>
                        <a:solidFill>
                          <a:prstClr val="white"/>
                        </a:solidFill>
                        <a:ln>
                          <a:noFill/>
                        </a:ln>
                      </wps:spPr>
                      <wps:txbx>
                        <w:txbxContent>
                          <w:p w:rsidR="00CA56D3" w:rsidRPr="007D5D2E" w:rsidRDefault="00CA56D3" w:rsidP="007D5D2E">
                            <w:pPr>
                              <w:pStyle w:val="Legenda"/>
                              <w:rPr>
                                <w:rFonts w:ascii="Arial" w:eastAsia="Arial" w:hAnsi="Arial" w:cs="Arial"/>
                                <w:i w:val="0"/>
                                <w:color w:val="auto"/>
                              </w:rPr>
                            </w:pPr>
                            <w:bookmarkStart w:id="71" w:name="_Toc180053445"/>
                            <w:bookmarkStart w:id="72" w:name="_Toc180054226"/>
                            <w:bookmarkStart w:id="73" w:name="_Toc180139793"/>
                            <w:r w:rsidRPr="007D5D2E">
                              <w:rPr>
                                <w:rFonts w:ascii="Arial" w:hAnsi="Arial" w:cs="Arial"/>
                                <w:i w:val="0"/>
                                <w:color w:val="auto"/>
                              </w:rPr>
                              <w:t xml:space="preserve">Figura </w:t>
                            </w:r>
                            <w:r w:rsidRPr="007D5D2E">
                              <w:rPr>
                                <w:rFonts w:ascii="Arial" w:hAnsi="Arial" w:cs="Arial"/>
                                <w:i w:val="0"/>
                                <w:color w:val="auto"/>
                              </w:rPr>
                              <w:fldChar w:fldCharType="begin"/>
                            </w:r>
                            <w:r w:rsidRPr="007D5D2E">
                              <w:rPr>
                                <w:rFonts w:ascii="Arial" w:hAnsi="Arial" w:cs="Arial"/>
                                <w:i w:val="0"/>
                                <w:color w:val="auto"/>
                              </w:rPr>
                              <w:instrText xml:space="preserve"> SEQ Figura \* ARABIC </w:instrText>
                            </w:r>
                            <w:r w:rsidRPr="007D5D2E">
                              <w:rPr>
                                <w:rFonts w:ascii="Arial" w:hAnsi="Arial" w:cs="Arial"/>
                                <w:i w:val="0"/>
                                <w:color w:val="auto"/>
                              </w:rPr>
                              <w:fldChar w:fldCharType="separate"/>
                            </w:r>
                            <w:r>
                              <w:rPr>
                                <w:rFonts w:ascii="Arial" w:hAnsi="Arial" w:cs="Arial"/>
                                <w:i w:val="0"/>
                                <w:noProof/>
                                <w:color w:val="auto"/>
                              </w:rPr>
                              <w:t>14</w:t>
                            </w:r>
                            <w:r w:rsidRPr="007D5D2E">
                              <w:rPr>
                                <w:rFonts w:ascii="Arial" w:hAnsi="Arial" w:cs="Arial"/>
                                <w:i w:val="0"/>
                                <w:color w:val="auto"/>
                              </w:rPr>
                              <w:fldChar w:fldCharType="end"/>
                            </w:r>
                            <w:r w:rsidRPr="007D5D2E">
                              <w:rPr>
                                <w:rFonts w:ascii="Arial" w:hAnsi="Arial" w:cs="Arial"/>
                                <w:i w:val="0"/>
                                <w:color w:val="auto"/>
                              </w:rPr>
                              <w:t>. Atualização no zoneamento da Floresta Estadual de Manicoré.</w:t>
                            </w:r>
                            <w:bookmarkEnd w:id="71"/>
                            <w:bookmarkEnd w:id="72"/>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430DE4E" id="Caixa de Texto 2" o:spid="_x0000_s1027" type="#_x0000_t202" style="position:absolute;margin-left:0;margin-top:0;width:467.65pt;height:36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" stroked="f">
                <v:textbox inset="0,0,0,0">
                  <w:txbxContent>
                    <w:p w:rsidR="00CA56D3" w:rsidRPr="007D5D2E" w:rsidRDefault="00CA56D3" w:rsidP="007D5D2E">
                      <w:pPr>
                        <w:pStyle w:val="Legenda"/>
                        <w:rPr>
                          <w:rFonts w:ascii="Arial" w:eastAsia="Arial" w:hAnsi="Arial" w:cs="Arial"/>
                          <w:i w:val="0"/>
                          <w:color w:val="auto"/>
                        </w:rPr>
                      </w:pPr>
                      <w:bookmarkStart w:id="74" w:name="_Toc180053445"/>
                      <w:bookmarkStart w:id="75" w:name="_Toc180054226"/>
                      <w:bookmarkStart w:id="76" w:name="_Toc180139793"/>
                      <w:r w:rsidRPr="007D5D2E">
                        <w:rPr>
                          <w:rFonts w:ascii="Arial" w:hAnsi="Arial" w:cs="Arial"/>
                          <w:i w:val="0"/>
                          <w:color w:val="auto"/>
                        </w:rPr>
                        <w:t xml:space="preserve">Figura </w:t>
                      </w:r>
                      <w:r w:rsidRPr="007D5D2E">
                        <w:rPr>
                          <w:rFonts w:ascii="Arial" w:hAnsi="Arial" w:cs="Arial"/>
                          <w:i w:val="0"/>
                          <w:color w:val="auto"/>
                        </w:rPr>
                        <w:fldChar w:fldCharType="begin"/>
                      </w:r>
                      <w:r w:rsidRPr="007D5D2E">
                        <w:rPr>
                          <w:rFonts w:ascii="Arial" w:hAnsi="Arial" w:cs="Arial"/>
                          <w:i w:val="0"/>
                          <w:color w:val="auto"/>
                        </w:rPr>
                        <w:instrText xml:space="preserve"> SEQ Figura \* ARABIC </w:instrText>
                      </w:r>
                      <w:r w:rsidRPr="007D5D2E">
                        <w:rPr>
                          <w:rFonts w:ascii="Arial" w:hAnsi="Arial" w:cs="Arial"/>
                          <w:i w:val="0"/>
                          <w:color w:val="auto"/>
                        </w:rPr>
                        <w:fldChar w:fldCharType="separate"/>
                      </w:r>
                      <w:r>
                        <w:rPr>
                          <w:rFonts w:ascii="Arial" w:hAnsi="Arial" w:cs="Arial"/>
                          <w:i w:val="0"/>
                          <w:noProof/>
                          <w:color w:val="auto"/>
                        </w:rPr>
                        <w:t>14</w:t>
                      </w:r>
                      <w:r w:rsidRPr="007D5D2E">
                        <w:rPr>
                          <w:rFonts w:ascii="Arial" w:hAnsi="Arial" w:cs="Arial"/>
                          <w:i w:val="0"/>
                          <w:color w:val="auto"/>
                        </w:rPr>
                        <w:fldChar w:fldCharType="end"/>
                      </w:r>
                      <w:r w:rsidRPr="007D5D2E">
                        <w:rPr>
                          <w:rFonts w:ascii="Arial" w:hAnsi="Arial" w:cs="Arial"/>
                          <w:i w:val="0"/>
                          <w:color w:val="auto"/>
                        </w:rPr>
                        <w:t>. Atualização no zoneamento da Floresta Estadual de Manicoré.</w:t>
                      </w:r>
                      <w:bookmarkEnd w:id="74"/>
                      <w:bookmarkEnd w:id="75"/>
                      <w:bookmarkEnd w:id="76"/>
                    </w:p>
                  </w:txbxContent>
                </v:textbox>
                <w10:wrap type="topAndBottom"/>
              </v:shape>
            </w:pict>
          </mc:Fallback>
        </mc:AlternateContent>
      </w:r>
      <w:r w:rsidR="00E75F7D" w:rsidRPr="000E7AC8">
        <w:rPr>
          <w:rFonts w:ascii="Arial" w:hAnsi="Arial" w:cs="Arial"/>
          <w:noProof/>
        </w:rPr>
        <w:drawing>
          <wp:anchor distT="0" distB="0" distL="114300" distR="114300" simplePos="0" relativeHeight="251674624" behindDoc="0" locked="0" layoutInCell="1" hidden="0" allowOverlap="1" wp14:anchorId="0947CE4E" wp14:editId="22C2443B">
            <wp:simplePos x="0" y="0"/>
            <wp:positionH relativeFrom="column">
              <wp:posOffset>312</wp:posOffset>
            </wp:positionH>
            <wp:positionV relativeFrom="paragraph">
              <wp:posOffset>267335</wp:posOffset>
            </wp:positionV>
            <wp:extent cx="5939480" cy="3416300"/>
            <wp:effectExtent l="0" t="0" r="0" b="0"/>
            <wp:wrapTopAndBottom distT="0" distB="0"/>
            <wp:docPr id="16031299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5939480" cy="3416300"/>
                    </a:xfrm>
                    <a:prstGeom prst="rect">
                      <a:avLst/>
                    </a:prstGeom>
                    <a:ln/>
                  </pic:spPr>
                </pic:pic>
              </a:graphicData>
            </a:graphic>
          </wp:anchor>
        </w:drawing>
      </w:r>
    </w:p>
    <w:p w:rsidR="002B7C6D" w:rsidRPr="000E7AC8" w:rsidRDefault="00E75F7D">
      <w:pPr>
        <w:pStyle w:val="Ttulo3"/>
        <w:numPr>
          <w:ilvl w:val="2"/>
          <w:numId w:val="5"/>
        </w:numPr>
        <w:ind w:hanging="720"/>
        <w:rPr>
          <w:rFonts w:ascii="Arial" w:eastAsia="Arial" w:hAnsi="Arial" w:cs="Arial"/>
          <w:b/>
          <w:color w:val="38761D"/>
          <w:sz w:val="28"/>
          <w:szCs w:val="28"/>
        </w:rPr>
      </w:pPr>
      <w:r w:rsidRPr="000E7AC8">
        <w:rPr>
          <w:rFonts w:ascii="Arial" w:eastAsia="Arial" w:hAnsi="Arial" w:cs="Arial"/>
          <w:b/>
          <w:color w:val="38761D"/>
          <w:sz w:val="28"/>
          <w:szCs w:val="28"/>
        </w:rPr>
        <w:t xml:space="preserve"> </w:t>
      </w:r>
      <w:bookmarkStart w:id="77" w:name="_Toc180138748"/>
      <w:r w:rsidRPr="000E7AC8">
        <w:rPr>
          <w:rFonts w:ascii="Arial" w:eastAsia="Arial" w:hAnsi="Arial" w:cs="Arial"/>
          <w:b/>
          <w:color w:val="38761D"/>
          <w:sz w:val="28"/>
          <w:szCs w:val="28"/>
        </w:rPr>
        <w:t>Floresta Estadual de Sucunduri</w:t>
      </w:r>
      <w:bookmarkEnd w:id="77"/>
      <w:r w:rsidRPr="000E7AC8">
        <w:rPr>
          <w:rFonts w:ascii="Arial" w:eastAsia="Arial" w:hAnsi="Arial" w:cs="Arial"/>
          <w:b/>
          <w:color w:val="38761D"/>
          <w:sz w:val="28"/>
          <w:szCs w:val="28"/>
        </w:rPr>
        <w:t xml:space="preserve"> </w:t>
      </w:r>
    </w:p>
    <w:p w:rsidR="002B7C6D" w:rsidRPr="000E7AC8" w:rsidRDefault="002B7C6D">
      <w:pPr>
        <w:rPr>
          <w:rFonts w:ascii="Arial" w:eastAsia="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A Floresta Estadual de Sucunduri, localizada no município Apuí, possui uma áre</w:t>
      </w:r>
      <w:r w:rsidR="003602BC" w:rsidRPr="000E7AC8">
        <w:rPr>
          <w:rFonts w:ascii="Arial" w:eastAsia="Arial" w:hAnsi="Arial" w:cs="Arial"/>
          <w:sz w:val="24"/>
          <w:szCs w:val="24"/>
        </w:rPr>
        <w:t>a de aproximadamente 492.905,27</w:t>
      </w:r>
      <w:r w:rsidRPr="000E7AC8">
        <w:rPr>
          <w:rFonts w:ascii="Arial" w:eastAsia="Arial" w:hAnsi="Arial" w:cs="Arial"/>
          <w:sz w:val="24"/>
          <w:szCs w:val="24"/>
        </w:rPr>
        <w:t xml:space="preserve"> hectares. A Flo</w:t>
      </w:r>
      <w:r w:rsidR="008E01A5">
        <w:rPr>
          <w:rFonts w:ascii="Arial" w:eastAsia="Arial" w:hAnsi="Arial" w:cs="Arial"/>
          <w:sz w:val="24"/>
          <w:szCs w:val="24"/>
        </w:rPr>
        <w:t>resta foi criada pelo Decreto nº</w:t>
      </w:r>
      <w:r w:rsidRPr="000E7AC8">
        <w:rPr>
          <w:rFonts w:ascii="Arial" w:eastAsia="Arial" w:hAnsi="Arial" w:cs="Arial"/>
          <w:sz w:val="24"/>
          <w:szCs w:val="24"/>
        </w:rPr>
        <w:t xml:space="preserve"> </w:t>
      </w:r>
      <w:r w:rsidRPr="000E7AC8">
        <w:rPr>
          <w:rFonts w:ascii="Arial" w:eastAsia="Arial" w:hAnsi="Arial" w:cs="Arial"/>
          <w:sz w:val="24"/>
          <w:szCs w:val="24"/>
        </w:rPr>
        <w:lastRenderedPageBreak/>
        <w:t>24.808/2005, e a gestão desta UC está integrada ao Plano de Gestão do Mosaico de Unidades de Conservação do Apuí (Figura 15).</w:t>
      </w:r>
    </w:p>
    <w:p w:rsidR="002B7C6D" w:rsidRPr="000E7AC8" w:rsidRDefault="00E75F7D" w:rsidP="003C5CA0">
      <w:pPr>
        <w:spacing w:line="360" w:lineRule="auto"/>
        <w:ind w:firstLine="709"/>
        <w:jc w:val="both"/>
        <w:rPr>
          <w:rFonts w:ascii="Arial" w:eastAsia="Arial" w:hAnsi="Arial" w:cs="Arial"/>
          <w:sz w:val="24"/>
          <w:szCs w:val="24"/>
        </w:rPr>
      </w:pPr>
      <w:r w:rsidRPr="000E7AC8">
        <w:rPr>
          <w:rFonts w:ascii="Arial" w:eastAsia="Arial" w:hAnsi="Arial" w:cs="Arial"/>
          <w:sz w:val="24"/>
          <w:szCs w:val="24"/>
        </w:rPr>
        <w:t>Em algumas áreas da Floresta do Sucunduri são encontrados neossolos, areais quartzosos e solos litólicos (rochosos), indicando que essas áreas não são adequadas a quaisquer atividades econômicas, incluindo o manejo sustentável de recursos madeireiros.</w:t>
      </w:r>
    </w:p>
    <w:p w:rsidR="002B7C6D" w:rsidRPr="000E7AC8" w:rsidRDefault="002B7C6D">
      <w:pPr>
        <w:spacing w:line="360" w:lineRule="auto"/>
        <w:ind w:firstLine="709"/>
        <w:jc w:val="both"/>
        <w:rPr>
          <w:rFonts w:ascii="Arial" w:eastAsia="Arial" w:hAnsi="Arial" w:cs="Arial"/>
          <w:sz w:val="24"/>
          <w:szCs w:val="24"/>
        </w:rPr>
      </w:pPr>
    </w:p>
    <w:p w:rsidR="007D5D2E" w:rsidRPr="000E7AC8" w:rsidRDefault="007D5D2E" w:rsidP="007D5D2E">
      <w:pPr>
        <w:pStyle w:val="Legenda"/>
        <w:keepNext/>
        <w:jc w:val="both"/>
        <w:rPr>
          <w:rFonts w:ascii="Arial" w:hAnsi="Arial" w:cs="Arial"/>
          <w:i w:val="0"/>
          <w:color w:val="auto"/>
        </w:rPr>
      </w:pPr>
      <w:bookmarkStart w:id="78" w:name="_Toc180053446"/>
      <w:bookmarkStart w:id="79" w:name="_Toc180054227"/>
      <w:bookmarkStart w:id="80" w:name="_Toc180139794"/>
      <w:r w:rsidRPr="000E7AC8">
        <w:rPr>
          <w:rFonts w:ascii="Arial" w:hAnsi="Arial" w:cs="Arial"/>
          <w:i w:val="0"/>
          <w:color w:val="auto"/>
        </w:rPr>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15</w:t>
      </w:r>
      <w:r w:rsidRPr="000E7AC8">
        <w:rPr>
          <w:rFonts w:ascii="Arial" w:hAnsi="Arial" w:cs="Arial"/>
          <w:i w:val="0"/>
          <w:color w:val="auto"/>
        </w:rPr>
        <w:fldChar w:fldCharType="end"/>
      </w:r>
      <w:r w:rsidRPr="000E7AC8">
        <w:rPr>
          <w:rFonts w:ascii="Arial" w:hAnsi="Arial" w:cs="Arial"/>
          <w:i w:val="0"/>
          <w:color w:val="auto"/>
        </w:rPr>
        <w:t>. Mapa da área de abrangência da Floresta Estadual de Sucunduri.</w:t>
      </w:r>
      <w:bookmarkEnd w:id="78"/>
      <w:bookmarkEnd w:id="79"/>
      <w:bookmarkEnd w:id="80"/>
    </w:p>
    <w:p w:rsidR="002B7C6D" w:rsidRPr="000E7AC8" w:rsidRDefault="00E75F7D">
      <w:pPr>
        <w:spacing w:line="360" w:lineRule="auto"/>
        <w:jc w:val="both"/>
        <w:rPr>
          <w:rFonts w:ascii="Arial" w:eastAsia="Arial" w:hAnsi="Arial" w:cs="Arial"/>
        </w:rPr>
      </w:pPr>
      <w:r w:rsidRPr="000E7AC8">
        <w:rPr>
          <w:rFonts w:ascii="Arial" w:eastAsia="Arial" w:hAnsi="Arial" w:cs="Arial"/>
          <w:noProof/>
          <w:sz w:val="24"/>
          <w:szCs w:val="24"/>
        </w:rPr>
        <w:drawing>
          <wp:inline distT="0" distB="0" distL="0" distR="0" wp14:anchorId="11C04043" wp14:editId="176DFFFE">
            <wp:extent cx="5939790" cy="4202935"/>
            <wp:effectExtent l="0" t="0" r="0" b="0"/>
            <wp:docPr id="160313000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8"/>
                    <a:srcRect/>
                    <a:stretch>
                      <a:fillRect/>
                    </a:stretch>
                  </pic:blipFill>
                  <pic:spPr>
                    <a:xfrm>
                      <a:off x="0" y="0"/>
                      <a:ext cx="5939790" cy="4202935"/>
                    </a:xfrm>
                    <a:prstGeom prst="rect">
                      <a:avLst/>
                    </a:prstGeom>
                    <a:ln/>
                  </pic:spPr>
                </pic:pic>
              </a:graphicData>
            </a:graphic>
          </wp:inline>
        </w:drawing>
      </w:r>
    </w:p>
    <w:p w:rsidR="002B7C6D" w:rsidRPr="000E7AC8" w:rsidRDefault="002B7C6D">
      <w:pPr>
        <w:spacing w:line="360" w:lineRule="auto"/>
        <w:ind w:firstLine="709"/>
        <w:jc w:val="both"/>
        <w:rPr>
          <w:rFonts w:ascii="Arial" w:eastAsia="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Neste sentido, conforme a primeira Revisão do Plano de Gestão do Mosaico, destaca-se a criação da subzona madeireiro comercial, que englobou a zona de uso </w:t>
      </w:r>
      <w:r w:rsidRPr="000E7AC8">
        <w:rPr>
          <w:rFonts w:ascii="Arial" w:eastAsia="Arial" w:hAnsi="Arial" w:cs="Arial"/>
          <w:sz w:val="24"/>
          <w:szCs w:val="24"/>
        </w:rPr>
        <w:lastRenderedPageBreak/>
        <w:t>conflitivo que não havia mais ocupação, além da área ter sido ampliada a partir da redução da zona de preservação (Figura 16).</w:t>
      </w:r>
    </w:p>
    <w:p w:rsidR="002B7C6D" w:rsidRPr="000E7AC8" w:rsidRDefault="00E75F7D" w:rsidP="000E2122">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 subzona de uso madeireiro comercial possui cerca de 116.573,95 ha e está localizada no rio Maracanã e seus afluentes principais, com limite norte no limite da unidade e limite sul na Zona de Preservação da mesma unidade, com </w:t>
      </w:r>
      <w:r w:rsidRPr="000E7AC8">
        <w:rPr>
          <w:rFonts w:ascii="Arial" w:eastAsia="Arial" w:hAnsi="Arial" w:cs="Arial"/>
          <w:i/>
          <w:sz w:val="24"/>
          <w:szCs w:val="24"/>
        </w:rPr>
        <w:t>buffer</w:t>
      </w:r>
      <w:r w:rsidRPr="000E7AC8">
        <w:rPr>
          <w:rFonts w:ascii="Arial" w:eastAsia="Arial" w:hAnsi="Arial" w:cs="Arial"/>
          <w:sz w:val="24"/>
          <w:szCs w:val="24"/>
        </w:rPr>
        <w:t xml:space="preserve"> de 12 km do rio Maracanã, conforme o Plano de Gestão do Mosaico.</w:t>
      </w:r>
      <w:r w:rsidR="000E2122" w:rsidRPr="000E7AC8">
        <w:rPr>
          <w:rFonts w:ascii="Arial" w:hAnsi="Arial" w:cs="Arial"/>
          <w:noProof/>
        </w:rPr>
        <mc:AlternateContent>
          <mc:Choice Requires="wps">
            <w:drawing>
              <wp:anchor distT="0" distB="0" distL="114300" distR="114300" simplePos="0" relativeHeight="251676672" behindDoc="0" locked="0" layoutInCell="1" allowOverlap="1" wp14:anchorId="720268D8" wp14:editId="617D21CD">
                <wp:simplePos x="0" y="0"/>
                <wp:positionH relativeFrom="column">
                  <wp:posOffset>-46990</wp:posOffset>
                </wp:positionH>
                <wp:positionV relativeFrom="paragraph">
                  <wp:posOffset>0</wp:posOffset>
                </wp:positionV>
                <wp:extent cx="5839460" cy="457200"/>
                <wp:effectExtent l="0" t="0" r="8890" b="0"/>
                <wp:wrapTopAndBottom/>
                <wp:docPr id="4" name="Caixa de Texto 4"/>
                <wp:cNvGraphicFramePr/>
                <a:graphic xmlns:a="http://schemas.openxmlformats.org/drawingml/2006/main">
                  <a:graphicData uri="http://schemas.microsoft.com/office/word/2010/wordprocessingShape">
                    <wps:wsp>
                      <wps:cNvSpPr txBox="1"/>
                      <wps:spPr>
                        <a:xfrm>
                          <a:off x="0" y="0"/>
                          <a:ext cx="5839460" cy="457200"/>
                        </a:xfrm>
                        <a:prstGeom prst="rect">
                          <a:avLst/>
                        </a:prstGeom>
                        <a:solidFill>
                          <a:prstClr val="white"/>
                        </a:solidFill>
                        <a:ln>
                          <a:noFill/>
                        </a:ln>
                      </wps:spPr>
                      <wps:txbx>
                        <w:txbxContent>
                          <w:p w:rsidR="00CA56D3" w:rsidRPr="000E2122" w:rsidRDefault="00CA56D3" w:rsidP="000E2122">
                            <w:pPr>
                              <w:pStyle w:val="Legenda"/>
                              <w:rPr>
                                <w:rFonts w:ascii="Arial" w:eastAsia="Arial" w:hAnsi="Arial" w:cs="Arial"/>
                                <w:i w:val="0"/>
                                <w:color w:val="auto"/>
                              </w:rPr>
                            </w:pPr>
                            <w:bookmarkStart w:id="81" w:name="_Toc180053447"/>
                            <w:bookmarkStart w:id="82" w:name="_Toc180054228"/>
                            <w:bookmarkStart w:id="83" w:name="_Toc180139795"/>
                            <w:r w:rsidRPr="000E2122">
                              <w:rPr>
                                <w:rFonts w:ascii="Arial" w:hAnsi="Arial" w:cs="Arial"/>
                                <w:i w:val="0"/>
                                <w:color w:val="auto"/>
                              </w:rPr>
                              <w:t xml:space="preserve">Figura </w:t>
                            </w:r>
                            <w:r w:rsidRPr="000E2122">
                              <w:rPr>
                                <w:rFonts w:ascii="Arial" w:hAnsi="Arial" w:cs="Arial"/>
                                <w:i w:val="0"/>
                                <w:color w:val="auto"/>
                              </w:rPr>
                              <w:fldChar w:fldCharType="begin"/>
                            </w:r>
                            <w:r w:rsidRPr="000E2122">
                              <w:rPr>
                                <w:rFonts w:ascii="Arial" w:hAnsi="Arial" w:cs="Arial"/>
                                <w:i w:val="0"/>
                                <w:color w:val="auto"/>
                              </w:rPr>
                              <w:instrText xml:space="preserve"> SEQ Figura \* ARABIC </w:instrText>
                            </w:r>
                            <w:r w:rsidRPr="000E2122">
                              <w:rPr>
                                <w:rFonts w:ascii="Arial" w:hAnsi="Arial" w:cs="Arial"/>
                                <w:i w:val="0"/>
                                <w:color w:val="auto"/>
                              </w:rPr>
                              <w:fldChar w:fldCharType="separate"/>
                            </w:r>
                            <w:r>
                              <w:rPr>
                                <w:rFonts w:ascii="Arial" w:hAnsi="Arial" w:cs="Arial"/>
                                <w:i w:val="0"/>
                                <w:noProof/>
                                <w:color w:val="auto"/>
                              </w:rPr>
                              <w:t>16</w:t>
                            </w:r>
                            <w:r w:rsidRPr="000E2122">
                              <w:rPr>
                                <w:rFonts w:ascii="Arial" w:hAnsi="Arial" w:cs="Arial"/>
                                <w:i w:val="0"/>
                                <w:color w:val="auto"/>
                              </w:rPr>
                              <w:fldChar w:fldCharType="end"/>
                            </w:r>
                            <w:r w:rsidRPr="000E2122">
                              <w:rPr>
                                <w:rFonts w:ascii="Arial" w:hAnsi="Arial" w:cs="Arial"/>
                                <w:i w:val="0"/>
                                <w:color w:val="auto"/>
                              </w:rPr>
                              <w:t>. Atualização no zoneamento da Floresta Estadual do Sucunduri.</w:t>
                            </w:r>
                            <w:bookmarkEnd w:id="81"/>
                            <w:bookmarkEnd w:id="82"/>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0268D8" id="Caixa de Texto 4" o:spid="_x0000_s1028" type="#_x0000_t202" style="position:absolute;left:0;text-align:left;margin-left:-3.7pt;margin-top:0;width:459.8pt;height:3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" stroked="f">
                <v:textbox inset="0,0,0,0">
                  <w:txbxContent>
                    <w:p w:rsidR="00CA56D3" w:rsidRPr="000E2122" w:rsidRDefault="00CA56D3" w:rsidP="000E2122">
                      <w:pPr>
                        <w:pStyle w:val="Legenda"/>
                        <w:rPr>
                          <w:rFonts w:ascii="Arial" w:eastAsia="Arial" w:hAnsi="Arial" w:cs="Arial"/>
                          <w:i w:val="0"/>
                          <w:color w:val="auto"/>
                        </w:rPr>
                      </w:pPr>
                      <w:bookmarkStart w:id="84" w:name="_Toc180053447"/>
                      <w:bookmarkStart w:id="85" w:name="_Toc180054228"/>
                      <w:bookmarkStart w:id="86" w:name="_Toc180139795"/>
                      <w:r w:rsidRPr="000E2122">
                        <w:rPr>
                          <w:rFonts w:ascii="Arial" w:hAnsi="Arial" w:cs="Arial"/>
                          <w:i w:val="0"/>
                          <w:color w:val="auto"/>
                        </w:rPr>
                        <w:t xml:space="preserve">Figura </w:t>
                      </w:r>
                      <w:r w:rsidRPr="000E2122">
                        <w:rPr>
                          <w:rFonts w:ascii="Arial" w:hAnsi="Arial" w:cs="Arial"/>
                          <w:i w:val="0"/>
                          <w:color w:val="auto"/>
                        </w:rPr>
                        <w:fldChar w:fldCharType="begin"/>
                      </w:r>
                      <w:r w:rsidRPr="000E2122">
                        <w:rPr>
                          <w:rFonts w:ascii="Arial" w:hAnsi="Arial" w:cs="Arial"/>
                          <w:i w:val="0"/>
                          <w:color w:val="auto"/>
                        </w:rPr>
                        <w:instrText xml:space="preserve"> SEQ Figura \* ARABIC </w:instrText>
                      </w:r>
                      <w:r w:rsidRPr="000E2122">
                        <w:rPr>
                          <w:rFonts w:ascii="Arial" w:hAnsi="Arial" w:cs="Arial"/>
                          <w:i w:val="0"/>
                          <w:color w:val="auto"/>
                        </w:rPr>
                        <w:fldChar w:fldCharType="separate"/>
                      </w:r>
                      <w:r>
                        <w:rPr>
                          <w:rFonts w:ascii="Arial" w:hAnsi="Arial" w:cs="Arial"/>
                          <w:i w:val="0"/>
                          <w:noProof/>
                          <w:color w:val="auto"/>
                        </w:rPr>
                        <w:t>16</w:t>
                      </w:r>
                      <w:r w:rsidRPr="000E2122">
                        <w:rPr>
                          <w:rFonts w:ascii="Arial" w:hAnsi="Arial" w:cs="Arial"/>
                          <w:i w:val="0"/>
                          <w:color w:val="auto"/>
                        </w:rPr>
                        <w:fldChar w:fldCharType="end"/>
                      </w:r>
                      <w:r w:rsidRPr="000E2122">
                        <w:rPr>
                          <w:rFonts w:ascii="Arial" w:hAnsi="Arial" w:cs="Arial"/>
                          <w:i w:val="0"/>
                          <w:color w:val="auto"/>
                        </w:rPr>
                        <w:t>. Atualização no zoneamento da Floresta Estadual do Sucunduri.</w:t>
                      </w:r>
                      <w:bookmarkEnd w:id="84"/>
                      <w:bookmarkEnd w:id="85"/>
                      <w:bookmarkEnd w:id="86"/>
                    </w:p>
                  </w:txbxContent>
                </v:textbox>
                <w10:wrap type="topAndBottom"/>
              </v:shape>
            </w:pict>
          </mc:Fallback>
        </mc:AlternateContent>
      </w:r>
      <w:r w:rsidRPr="000E7AC8">
        <w:rPr>
          <w:rFonts w:ascii="Arial" w:hAnsi="Arial" w:cs="Arial"/>
          <w:noProof/>
        </w:rPr>
        <w:drawing>
          <wp:anchor distT="0" distB="0" distL="114300" distR="114300" simplePos="0" relativeHeight="251677696" behindDoc="0" locked="0" layoutInCell="1" hidden="0" allowOverlap="1" wp14:anchorId="18868EB7" wp14:editId="7D1DC2C4">
            <wp:simplePos x="0" y="0"/>
            <wp:positionH relativeFrom="column">
              <wp:posOffset>-47624</wp:posOffset>
            </wp:positionH>
            <wp:positionV relativeFrom="paragraph">
              <wp:posOffset>243840</wp:posOffset>
            </wp:positionV>
            <wp:extent cx="5839740" cy="3228702"/>
            <wp:effectExtent l="0" t="0" r="0" b="0"/>
            <wp:wrapTopAndBottom distT="0" distB="0"/>
            <wp:docPr id="160312998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a:stretch>
                      <a:fillRect/>
                    </a:stretch>
                  </pic:blipFill>
                  <pic:spPr>
                    <a:xfrm>
                      <a:off x="0" y="0"/>
                      <a:ext cx="5839740" cy="3228702"/>
                    </a:xfrm>
                    <a:prstGeom prst="rect">
                      <a:avLst/>
                    </a:prstGeom>
                    <a:ln/>
                  </pic:spPr>
                </pic:pic>
              </a:graphicData>
            </a:graphic>
          </wp:anchor>
        </w:drawing>
      </w:r>
    </w:p>
    <w:p w:rsidR="002B7C6D" w:rsidRPr="000E7AC8" w:rsidRDefault="002B7C6D">
      <w:pPr>
        <w:spacing w:line="360" w:lineRule="auto"/>
        <w:jc w:val="center"/>
        <w:rPr>
          <w:rFonts w:ascii="Arial" w:eastAsia="Arial" w:hAnsi="Arial" w:cs="Arial"/>
          <w:sz w:val="24"/>
          <w:szCs w:val="24"/>
          <w:highlight w:val="yellow"/>
        </w:rPr>
      </w:pPr>
    </w:p>
    <w:p w:rsidR="002B7C6D" w:rsidRPr="000E7AC8" w:rsidRDefault="00E75F7D">
      <w:pPr>
        <w:pStyle w:val="Ttulo2"/>
        <w:numPr>
          <w:ilvl w:val="1"/>
          <w:numId w:val="5"/>
        </w:numPr>
        <w:ind w:left="0" w:firstLine="851"/>
        <w:rPr>
          <w:rFonts w:ascii="Arial" w:eastAsia="Arial" w:hAnsi="Arial" w:cs="Arial"/>
          <w:b/>
          <w:color w:val="38761D"/>
          <w:sz w:val="28"/>
          <w:szCs w:val="28"/>
        </w:rPr>
      </w:pPr>
      <w:bookmarkStart w:id="87" w:name="_Toc180138749"/>
      <w:r w:rsidRPr="000E7AC8">
        <w:rPr>
          <w:rFonts w:ascii="Arial" w:eastAsia="Arial" w:hAnsi="Arial" w:cs="Arial"/>
          <w:b/>
          <w:color w:val="38761D"/>
          <w:sz w:val="28"/>
          <w:szCs w:val="28"/>
        </w:rPr>
        <w:t>FLORESTA ESTADUAL DE CANUTAMA</w:t>
      </w:r>
      <w:bookmarkEnd w:id="87"/>
    </w:p>
    <w:p w:rsidR="002B7C6D" w:rsidRPr="000E7AC8" w:rsidRDefault="002B7C6D">
      <w:pPr>
        <w:rPr>
          <w:rFonts w:ascii="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 Floresta Estadual de Canutama, localizada nos municípios de Canutama e Tapauá, possui área de aproximadamente 150.588,57 ha. A Floresta foi criada a partir do Decreto Estadual nº 28.422/2009 (Figura 17). </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Na Floresta Estadual de Canutama estão inseridas áreas de terras arrecadadas pelo Governo do Estado do Amazonas. Limita-se ao norte com o Rio Purus, entre o Lago </w:t>
      </w:r>
      <w:r w:rsidRPr="000E7AC8">
        <w:rPr>
          <w:rFonts w:ascii="Arial" w:eastAsia="Arial" w:hAnsi="Arial" w:cs="Arial"/>
          <w:sz w:val="24"/>
          <w:szCs w:val="24"/>
        </w:rPr>
        <w:lastRenderedPageBreak/>
        <w:t>Cassiã e o Furo Curá-Curá, no município de Tapauá, na porção oeste limita-se diretamente pela margem esquerda do Rio Purus e ao sul com a Resex Canutama.</w:t>
      </w:r>
    </w:p>
    <w:p w:rsidR="002B7C6D" w:rsidRPr="000E7AC8" w:rsidRDefault="003C5CA0" w:rsidP="000E2122">
      <w:pPr>
        <w:spacing w:line="360" w:lineRule="auto"/>
        <w:jc w:val="both"/>
        <w:rPr>
          <w:rFonts w:ascii="Arial" w:eastAsia="Arial" w:hAnsi="Arial" w:cs="Arial"/>
          <w:sz w:val="24"/>
          <w:szCs w:val="24"/>
        </w:rPr>
      </w:pPr>
      <w:r w:rsidRPr="000E7AC8">
        <w:rPr>
          <w:rFonts w:ascii="Arial" w:hAnsi="Arial" w:cs="Arial"/>
          <w:noProof/>
        </w:rPr>
        <mc:AlternateContent>
          <mc:Choice Requires="wps">
            <w:drawing>
              <wp:anchor distT="0" distB="0" distL="114300" distR="114300" simplePos="0" relativeHeight="251679744" behindDoc="0" locked="0" layoutInCell="1" allowOverlap="1" wp14:anchorId="79C5D38F" wp14:editId="3552069E">
                <wp:simplePos x="0" y="0"/>
                <wp:positionH relativeFrom="margin">
                  <wp:align>right</wp:align>
                </wp:positionH>
                <wp:positionV relativeFrom="paragraph">
                  <wp:posOffset>243840</wp:posOffset>
                </wp:positionV>
                <wp:extent cx="5938520" cy="457200"/>
                <wp:effectExtent l="0" t="0" r="5080" b="0"/>
                <wp:wrapTopAndBottom/>
                <wp:docPr id="5" name="Caixa de Texto 5"/>
                <wp:cNvGraphicFramePr/>
                <a:graphic xmlns:a="http://schemas.openxmlformats.org/drawingml/2006/main">
                  <a:graphicData uri="http://schemas.microsoft.com/office/word/2010/wordprocessingShape">
                    <wps:wsp>
                      <wps:cNvSpPr txBox="1"/>
                      <wps:spPr>
                        <a:xfrm>
                          <a:off x="0" y="0"/>
                          <a:ext cx="5938520" cy="457200"/>
                        </a:xfrm>
                        <a:prstGeom prst="rect">
                          <a:avLst/>
                        </a:prstGeom>
                        <a:solidFill>
                          <a:prstClr val="white"/>
                        </a:solidFill>
                        <a:ln>
                          <a:noFill/>
                        </a:ln>
                      </wps:spPr>
                      <wps:txbx>
                        <w:txbxContent>
                          <w:p w:rsidR="00CA56D3" w:rsidRPr="000E2122" w:rsidRDefault="00CA56D3" w:rsidP="000E2122">
                            <w:pPr>
                              <w:pStyle w:val="Legenda"/>
                              <w:rPr>
                                <w:rFonts w:ascii="Arial" w:eastAsia="Arial" w:hAnsi="Arial" w:cs="Arial"/>
                                <w:i w:val="0"/>
                                <w:color w:val="auto"/>
                              </w:rPr>
                            </w:pPr>
                            <w:bookmarkStart w:id="88" w:name="_Toc180053448"/>
                            <w:bookmarkStart w:id="89" w:name="_Toc180054229"/>
                            <w:bookmarkStart w:id="90" w:name="_Toc180139796"/>
                            <w:r w:rsidRPr="000E2122">
                              <w:rPr>
                                <w:rFonts w:ascii="Arial" w:hAnsi="Arial" w:cs="Arial"/>
                                <w:i w:val="0"/>
                                <w:color w:val="auto"/>
                              </w:rPr>
                              <w:t xml:space="preserve">Figura </w:t>
                            </w:r>
                            <w:r w:rsidRPr="000E2122">
                              <w:rPr>
                                <w:rFonts w:ascii="Arial" w:hAnsi="Arial" w:cs="Arial"/>
                                <w:i w:val="0"/>
                                <w:color w:val="auto"/>
                              </w:rPr>
                              <w:fldChar w:fldCharType="begin"/>
                            </w:r>
                            <w:r w:rsidRPr="000E2122">
                              <w:rPr>
                                <w:rFonts w:ascii="Arial" w:hAnsi="Arial" w:cs="Arial"/>
                                <w:i w:val="0"/>
                                <w:color w:val="auto"/>
                              </w:rPr>
                              <w:instrText xml:space="preserve"> SEQ Figura \* ARABIC </w:instrText>
                            </w:r>
                            <w:r w:rsidRPr="000E2122">
                              <w:rPr>
                                <w:rFonts w:ascii="Arial" w:hAnsi="Arial" w:cs="Arial"/>
                                <w:i w:val="0"/>
                                <w:color w:val="auto"/>
                              </w:rPr>
                              <w:fldChar w:fldCharType="separate"/>
                            </w:r>
                            <w:r>
                              <w:rPr>
                                <w:rFonts w:ascii="Arial" w:hAnsi="Arial" w:cs="Arial"/>
                                <w:i w:val="0"/>
                                <w:noProof/>
                                <w:color w:val="auto"/>
                              </w:rPr>
                              <w:t>17</w:t>
                            </w:r>
                            <w:r w:rsidRPr="000E2122">
                              <w:rPr>
                                <w:rFonts w:ascii="Arial" w:hAnsi="Arial" w:cs="Arial"/>
                                <w:i w:val="0"/>
                                <w:color w:val="auto"/>
                              </w:rPr>
                              <w:fldChar w:fldCharType="end"/>
                            </w:r>
                            <w:r w:rsidRPr="000E2122">
                              <w:rPr>
                                <w:rFonts w:ascii="Arial" w:hAnsi="Arial" w:cs="Arial"/>
                                <w:i w:val="0"/>
                                <w:color w:val="auto"/>
                              </w:rPr>
                              <w:t>. Mapa da área de abrangência da Floresta Estadual de Canutama.</w:t>
                            </w:r>
                            <w:bookmarkEnd w:id="88"/>
                            <w:bookmarkEnd w:id="89"/>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9C5D38F" id="Caixa de Texto 5" o:spid="_x0000_s1029" type="#_x0000_t202" style="position:absolute;left:0;text-align:left;margin-left:416.4pt;margin-top:19.2pt;width:467.6pt;height:36pt;z-index:25167974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" stroked="f">
                <v:textbox inset="0,0,0,0">
                  <w:txbxContent>
                    <w:p w:rsidR="00CA56D3" w:rsidRPr="000E2122" w:rsidRDefault="00CA56D3" w:rsidP="000E2122">
                      <w:pPr>
                        <w:pStyle w:val="Legenda"/>
                        <w:rPr>
                          <w:rFonts w:ascii="Arial" w:eastAsia="Arial" w:hAnsi="Arial" w:cs="Arial"/>
                          <w:i w:val="0"/>
                          <w:color w:val="auto"/>
                        </w:rPr>
                      </w:pPr>
                      <w:bookmarkStart w:id="91" w:name="_Toc180053448"/>
                      <w:bookmarkStart w:id="92" w:name="_Toc180054229"/>
                      <w:bookmarkStart w:id="93" w:name="_Toc180139796"/>
                      <w:r w:rsidRPr="000E2122">
                        <w:rPr>
                          <w:rFonts w:ascii="Arial" w:hAnsi="Arial" w:cs="Arial"/>
                          <w:i w:val="0"/>
                          <w:color w:val="auto"/>
                        </w:rPr>
                        <w:t xml:space="preserve">Figura </w:t>
                      </w:r>
                      <w:r w:rsidRPr="000E2122">
                        <w:rPr>
                          <w:rFonts w:ascii="Arial" w:hAnsi="Arial" w:cs="Arial"/>
                          <w:i w:val="0"/>
                          <w:color w:val="auto"/>
                        </w:rPr>
                        <w:fldChar w:fldCharType="begin"/>
                      </w:r>
                      <w:r w:rsidRPr="000E2122">
                        <w:rPr>
                          <w:rFonts w:ascii="Arial" w:hAnsi="Arial" w:cs="Arial"/>
                          <w:i w:val="0"/>
                          <w:color w:val="auto"/>
                        </w:rPr>
                        <w:instrText xml:space="preserve"> SEQ Figura \* ARABIC </w:instrText>
                      </w:r>
                      <w:r w:rsidRPr="000E2122">
                        <w:rPr>
                          <w:rFonts w:ascii="Arial" w:hAnsi="Arial" w:cs="Arial"/>
                          <w:i w:val="0"/>
                          <w:color w:val="auto"/>
                        </w:rPr>
                        <w:fldChar w:fldCharType="separate"/>
                      </w:r>
                      <w:r>
                        <w:rPr>
                          <w:rFonts w:ascii="Arial" w:hAnsi="Arial" w:cs="Arial"/>
                          <w:i w:val="0"/>
                          <w:noProof/>
                          <w:color w:val="auto"/>
                        </w:rPr>
                        <w:t>17</w:t>
                      </w:r>
                      <w:r w:rsidRPr="000E2122">
                        <w:rPr>
                          <w:rFonts w:ascii="Arial" w:hAnsi="Arial" w:cs="Arial"/>
                          <w:i w:val="0"/>
                          <w:color w:val="auto"/>
                        </w:rPr>
                        <w:fldChar w:fldCharType="end"/>
                      </w:r>
                      <w:r w:rsidRPr="000E2122">
                        <w:rPr>
                          <w:rFonts w:ascii="Arial" w:hAnsi="Arial" w:cs="Arial"/>
                          <w:i w:val="0"/>
                          <w:color w:val="auto"/>
                        </w:rPr>
                        <w:t>. Mapa da área de abrangência da Floresta Estadual de Canutama.</w:t>
                      </w:r>
                      <w:bookmarkEnd w:id="91"/>
                      <w:bookmarkEnd w:id="92"/>
                      <w:bookmarkEnd w:id="93"/>
                    </w:p>
                  </w:txbxContent>
                </v:textbox>
                <w10:wrap type="topAndBottom" anchorx="margin"/>
              </v:shape>
            </w:pict>
          </mc:Fallback>
        </mc:AlternateContent>
      </w:r>
    </w:p>
    <w:p w:rsidR="002B7C6D" w:rsidRPr="000E7AC8" w:rsidRDefault="00E75F7D">
      <w:pPr>
        <w:pBdr>
          <w:top w:val="nil"/>
          <w:left w:val="nil"/>
          <w:bottom w:val="nil"/>
          <w:right w:val="nil"/>
          <w:between w:val="nil"/>
        </w:pBdr>
        <w:spacing w:after="200"/>
        <w:rPr>
          <w:rFonts w:ascii="Arial" w:eastAsia="Arial" w:hAnsi="Arial" w:cs="Arial"/>
          <w:color w:val="000000"/>
          <w:sz w:val="18"/>
          <w:szCs w:val="18"/>
        </w:rPr>
      </w:pPr>
      <w:r w:rsidRPr="000E7AC8">
        <w:rPr>
          <w:rFonts w:ascii="Arial" w:hAnsi="Arial" w:cs="Arial"/>
          <w:noProof/>
        </w:rPr>
        <w:drawing>
          <wp:anchor distT="0" distB="0" distL="114300" distR="114300" simplePos="0" relativeHeight="251680768" behindDoc="0" locked="0" layoutInCell="1" hidden="0" allowOverlap="1" wp14:anchorId="26D4A401" wp14:editId="46A49494">
            <wp:simplePos x="0" y="0"/>
            <wp:positionH relativeFrom="column">
              <wp:posOffset>-21589</wp:posOffset>
            </wp:positionH>
            <wp:positionV relativeFrom="paragraph">
              <wp:posOffset>262890</wp:posOffset>
            </wp:positionV>
            <wp:extent cx="5938520" cy="4202430"/>
            <wp:effectExtent l="0" t="0" r="0" b="0"/>
            <wp:wrapTopAndBottom distT="0" distB="0"/>
            <wp:docPr id="160312998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rcRect/>
                    <a:stretch>
                      <a:fillRect/>
                    </a:stretch>
                  </pic:blipFill>
                  <pic:spPr>
                    <a:xfrm>
                      <a:off x="0" y="0"/>
                      <a:ext cx="5938520" cy="4202430"/>
                    </a:xfrm>
                    <a:prstGeom prst="rect">
                      <a:avLst/>
                    </a:prstGeom>
                    <a:ln/>
                  </pic:spPr>
                </pic:pic>
              </a:graphicData>
            </a:graphic>
          </wp:anchor>
        </w:drawing>
      </w:r>
    </w:p>
    <w:p w:rsidR="002B7C6D" w:rsidRPr="000E7AC8" w:rsidRDefault="002B7C6D">
      <w:pPr>
        <w:rPr>
          <w:rFonts w:ascii="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As atividades desenvolvidas na região da Floresta Estadual de Canutama são a agricultura (farinha de mandioca), a pesca, extrativismo (castanha e andiroba), madeira e pecuária familiar. Conforme consta em Plano de Gestão (2014), existem, ainda, atividades com grande potencial, como a coleta da castanha e a pesca. Do ponto de vista social, a Floresta de Canutama representa, principalmente, uma oportunidade para a proteção do modo de vida agroextrativista e para o desenvolvimento da sua numerosa </w:t>
      </w:r>
      <w:r w:rsidRPr="000E7AC8">
        <w:rPr>
          <w:rFonts w:ascii="Arial" w:eastAsia="Arial" w:hAnsi="Arial" w:cs="Arial"/>
          <w:sz w:val="24"/>
          <w:szCs w:val="24"/>
        </w:rPr>
        <w:lastRenderedPageBreak/>
        <w:t>população residente e do seu entorno que dependem direta e imediatamente para a sobrevivência.</w:t>
      </w:r>
    </w:p>
    <w:p w:rsidR="002B7C6D" w:rsidRPr="000E7AC8" w:rsidRDefault="000E2122">
      <w:pPr>
        <w:spacing w:line="360" w:lineRule="auto"/>
        <w:ind w:firstLine="709"/>
        <w:jc w:val="both"/>
        <w:rPr>
          <w:rFonts w:ascii="Arial" w:eastAsia="Arial" w:hAnsi="Arial" w:cs="Arial"/>
          <w:sz w:val="24"/>
          <w:szCs w:val="24"/>
        </w:rPr>
      </w:pPr>
      <w:r w:rsidRPr="000E7AC8">
        <w:rPr>
          <w:rFonts w:ascii="Arial" w:hAnsi="Arial" w:cs="Arial"/>
          <w:noProof/>
        </w:rPr>
        <mc:AlternateContent>
          <mc:Choice Requires="wps">
            <w:drawing>
              <wp:anchor distT="0" distB="0" distL="114300" distR="114300" simplePos="0" relativeHeight="251682816" behindDoc="0" locked="0" layoutInCell="1" allowOverlap="1" wp14:anchorId="32E4BFEB" wp14:editId="0CA35F29">
                <wp:simplePos x="0" y="0"/>
                <wp:positionH relativeFrom="margin">
                  <wp:align>left</wp:align>
                </wp:positionH>
                <wp:positionV relativeFrom="paragraph">
                  <wp:posOffset>803275</wp:posOffset>
                </wp:positionV>
                <wp:extent cx="5943600" cy="457200"/>
                <wp:effectExtent l="0" t="0" r="0" b="0"/>
                <wp:wrapTopAndBottom/>
                <wp:docPr id="6" name="Caixa de Texto 6"/>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wps:spPr>
                      <wps:txbx>
                        <w:txbxContent>
                          <w:p w:rsidR="00CA56D3" w:rsidRPr="00C32770" w:rsidRDefault="00CA56D3" w:rsidP="000E2122">
                            <w:pPr>
                              <w:pStyle w:val="Legenda"/>
                              <w:rPr>
                                <w:rFonts w:ascii="Arial" w:eastAsia="Arial" w:hAnsi="Arial" w:cs="Arial"/>
                                <w:i w:val="0"/>
                                <w:color w:val="auto"/>
                              </w:rPr>
                            </w:pPr>
                            <w:bookmarkStart w:id="94" w:name="_Toc180054230"/>
                            <w:bookmarkStart w:id="95" w:name="_Toc180139797"/>
                            <w:r w:rsidRPr="00C32770">
                              <w:rPr>
                                <w:rFonts w:ascii="Arial" w:hAnsi="Arial" w:cs="Arial"/>
                                <w:i w:val="0"/>
                                <w:color w:val="auto"/>
                              </w:rPr>
                              <w:t xml:space="preserve">Figura </w:t>
                            </w:r>
                            <w:r w:rsidRPr="00C32770">
                              <w:rPr>
                                <w:rFonts w:ascii="Arial" w:hAnsi="Arial" w:cs="Arial"/>
                                <w:i w:val="0"/>
                                <w:color w:val="auto"/>
                              </w:rPr>
                              <w:fldChar w:fldCharType="begin"/>
                            </w:r>
                            <w:r w:rsidRPr="00C32770">
                              <w:rPr>
                                <w:rFonts w:ascii="Arial" w:hAnsi="Arial" w:cs="Arial"/>
                                <w:i w:val="0"/>
                                <w:color w:val="auto"/>
                              </w:rPr>
                              <w:instrText xml:space="preserve"> SEQ Figura \* ARABIC </w:instrText>
                            </w:r>
                            <w:r w:rsidRPr="00C32770">
                              <w:rPr>
                                <w:rFonts w:ascii="Arial" w:hAnsi="Arial" w:cs="Arial"/>
                                <w:i w:val="0"/>
                                <w:color w:val="auto"/>
                              </w:rPr>
                              <w:fldChar w:fldCharType="separate"/>
                            </w:r>
                            <w:r>
                              <w:rPr>
                                <w:rFonts w:ascii="Arial" w:hAnsi="Arial" w:cs="Arial"/>
                                <w:i w:val="0"/>
                                <w:noProof/>
                                <w:color w:val="auto"/>
                              </w:rPr>
                              <w:t>18</w:t>
                            </w:r>
                            <w:r w:rsidRPr="00C32770">
                              <w:rPr>
                                <w:rFonts w:ascii="Arial" w:hAnsi="Arial" w:cs="Arial"/>
                                <w:i w:val="0"/>
                                <w:noProof/>
                                <w:color w:val="auto"/>
                              </w:rPr>
                              <w:fldChar w:fldCharType="end"/>
                            </w:r>
                            <w:r w:rsidRPr="00C32770">
                              <w:rPr>
                                <w:rFonts w:ascii="Arial" w:hAnsi="Arial" w:cs="Arial"/>
                                <w:i w:val="0"/>
                                <w:color w:val="auto"/>
                              </w:rPr>
                              <w:t>. Atualização no zoneamento da Floresta Estadual de Canutama.</w:t>
                            </w:r>
                            <w:bookmarkEnd w:id="94"/>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2E4BFEB" id="Caixa de Texto 6" o:spid="_x0000_s1030" type="#_x0000_t202" style="position:absolute;left:0;text-align:left;margin-left:0;margin-top:63.25pt;width:468pt;height:36pt;z-index:2516828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" stroked="f">
                <v:textbox inset="0,0,0,0">
                  <w:txbxContent>
                    <w:p w:rsidR="00CA56D3" w:rsidRPr="00C32770" w:rsidRDefault="00CA56D3" w:rsidP="000E2122">
                      <w:pPr>
                        <w:pStyle w:val="Legenda"/>
                        <w:rPr>
                          <w:rFonts w:ascii="Arial" w:eastAsia="Arial" w:hAnsi="Arial" w:cs="Arial"/>
                          <w:i w:val="0"/>
                          <w:color w:val="auto"/>
                        </w:rPr>
                      </w:pPr>
                      <w:bookmarkStart w:id="96" w:name="_Toc180054230"/>
                      <w:bookmarkStart w:id="97" w:name="_Toc180139797"/>
                      <w:r w:rsidRPr="00C32770">
                        <w:rPr>
                          <w:rFonts w:ascii="Arial" w:hAnsi="Arial" w:cs="Arial"/>
                          <w:i w:val="0"/>
                          <w:color w:val="auto"/>
                        </w:rPr>
                        <w:t xml:space="preserve">Figura </w:t>
                      </w:r>
                      <w:r w:rsidRPr="00C32770">
                        <w:rPr>
                          <w:rFonts w:ascii="Arial" w:hAnsi="Arial" w:cs="Arial"/>
                          <w:i w:val="0"/>
                          <w:color w:val="auto"/>
                        </w:rPr>
                        <w:fldChar w:fldCharType="begin"/>
                      </w:r>
                      <w:r w:rsidRPr="00C32770">
                        <w:rPr>
                          <w:rFonts w:ascii="Arial" w:hAnsi="Arial" w:cs="Arial"/>
                          <w:i w:val="0"/>
                          <w:color w:val="auto"/>
                        </w:rPr>
                        <w:instrText xml:space="preserve"> SEQ Figura \* ARABIC </w:instrText>
                      </w:r>
                      <w:r w:rsidRPr="00C32770">
                        <w:rPr>
                          <w:rFonts w:ascii="Arial" w:hAnsi="Arial" w:cs="Arial"/>
                          <w:i w:val="0"/>
                          <w:color w:val="auto"/>
                        </w:rPr>
                        <w:fldChar w:fldCharType="separate"/>
                      </w:r>
                      <w:r>
                        <w:rPr>
                          <w:rFonts w:ascii="Arial" w:hAnsi="Arial" w:cs="Arial"/>
                          <w:i w:val="0"/>
                          <w:noProof/>
                          <w:color w:val="auto"/>
                        </w:rPr>
                        <w:t>18</w:t>
                      </w:r>
                      <w:r w:rsidRPr="00C32770">
                        <w:rPr>
                          <w:rFonts w:ascii="Arial" w:hAnsi="Arial" w:cs="Arial"/>
                          <w:i w:val="0"/>
                          <w:noProof/>
                          <w:color w:val="auto"/>
                        </w:rPr>
                        <w:fldChar w:fldCharType="end"/>
                      </w:r>
                      <w:r w:rsidRPr="00C32770">
                        <w:rPr>
                          <w:rFonts w:ascii="Arial" w:hAnsi="Arial" w:cs="Arial"/>
                          <w:i w:val="0"/>
                          <w:color w:val="auto"/>
                        </w:rPr>
                        <w:t>. Atualização no zoneamento da Floresta Estadual de Canutama.</w:t>
                      </w:r>
                      <w:bookmarkEnd w:id="96"/>
                      <w:bookmarkEnd w:id="97"/>
                    </w:p>
                  </w:txbxContent>
                </v:textbox>
                <w10:wrap type="topAndBottom" anchorx="margin"/>
              </v:shape>
            </w:pict>
          </mc:Fallback>
        </mc:AlternateContent>
      </w:r>
      <w:r w:rsidR="00E75F7D" w:rsidRPr="000E7AC8">
        <w:rPr>
          <w:rFonts w:ascii="Arial" w:eastAsia="Arial" w:hAnsi="Arial" w:cs="Arial"/>
          <w:sz w:val="24"/>
          <w:szCs w:val="24"/>
        </w:rPr>
        <w:t>A subzona especial para manejo madeireiro comercial totaliza cerca de 15.528,86 ha. São áreas de florestas onde se pratica o uso tradicional dos recursos naturais por meio de atividades de baixo impacto (Figura 18).</w:t>
      </w:r>
    </w:p>
    <w:p w:rsidR="002B7C6D" w:rsidRPr="000E7AC8" w:rsidRDefault="00E75F7D">
      <w:pPr>
        <w:pBdr>
          <w:top w:val="nil"/>
          <w:left w:val="nil"/>
          <w:bottom w:val="nil"/>
          <w:right w:val="nil"/>
          <w:between w:val="nil"/>
        </w:pBdr>
        <w:spacing w:after="200"/>
        <w:rPr>
          <w:rFonts w:ascii="Arial" w:eastAsia="Arial" w:hAnsi="Arial" w:cs="Arial"/>
          <w:color w:val="000000"/>
          <w:sz w:val="24"/>
          <w:szCs w:val="24"/>
        </w:rPr>
      </w:pPr>
      <w:r w:rsidRPr="000E7AC8">
        <w:rPr>
          <w:rFonts w:ascii="Arial" w:hAnsi="Arial" w:cs="Arial"/>
          <w:noProof/>
        </w:rPr>
        <w:drawing>
          <wp:anchor distT="0" distB="0" distL="114300" distR="114300" simplePos="0" relativeHeight="251683840" behindDoc="0" locked="0" layoutInCell="1" hidden="0" allowOverlap="1" wp14:anchorId="728651A0" wp14:editId="25F66DFF">
            <wp:simplePos x="0" y="0"/>
            <wp:positionH relativeFrom="column">
              <wp:posOffset>1</wp:posOffset>
            </wp:positionH>
            <wp:positionV relativeFrom="paragraph">
              <wp:posOffset>327025</wp:posOffset>
            </wp:positionV>
            <wp:extent cx="5943600" cy="4308475"/>
            <wp:effectExtent l="0" t="0" r="0" b="0"/>
            <wp:wrapTopAndBottom distT="0" distB="0"/>
            <wp:docPr id="16031299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1"/>
                    <a:srcRect t="3346"/>
                    <a:stretch>
                      <a:fillRect/>
                    </a:stretch>
                  </pic:blipFill>
                  <pic:spPr>
                    <a:xfrm>
                      <a:off x="0" y="0"/>
                      <a:ext cx="5943600" cy="4308475"/>
                    </a:xfrm>
                    <a:prstGeom prst="rect">
                      <a:avLst/>
                    </a:prstGeom>
                    <a:ln/>
                  </pic:spPr>
                </pic:pic>
              </a:graphicData>
            </a:graphic>
          </wp:anchor>
        </w:drawing>
      </w:r>
    </w:p>
    <w:p w:rsidR="002B7C6D" w:rsidRPr="000E7AC8" w:rsidRDefault="00E75F7D">
      <w:pPr>
        <w:pStyle w:val="Ttulo2"/>
        <w:numPr>
          <w:ilvl w:val="1"/>
          <w:numId w:val="5"/>
        </w:numPr>
        <w:ind w:left="0" w:firstLine="851"/>
        <w:rPr>
          <w:rFonts w:ascii="Arial" w:eastAsia="Arial" w:hAnsi="Arial" w:cs="Arial"/>
          <w:b/>
          <w:color w:val="38761D"/>
          <w:sz w:val="28"/>
          <w:szCs w:val="28"/>
        </w:rPr>
      </w:pPr>
      <w:bookmarkStart w:id="98" w:name="_Toc180138750"/>
      <w:r w:rsidRPr="000E7AC8">
        <w:rPr>
          <w:rFonts w:ascii="Arial" w:eastAsia="Arial" w:hAnsi="Arial" w:cs="Arial"/>
          <w:b/>
          <w:color w:val="38761D"/>
          <w:sz w:val="28"/>
          <w:szCs w:val="28"/>
        </w:rPr>
        <w:t>FLORESTA ESTADUAL DE TAPAUÁ</w:t>
      </w:r>
      <w:bookmarkEnd w:id="98"/>
    </w:p>
    <w:p w:rsidR="002B7C6D" w:rsidRPr="000E7AC8" w:rsidRDefault="002B7C6D">
      <w:pPr>
        <w:rPr>
          <w:rFonts w:ascii="Arial" w:hAnsi="Arial" w:cs="Arial"/>
        </w:rPr>
      </w:pPr>
    </w:p>
    <w:p w:rsidR="000E2122" w:rsidRPr="000E7AC8" w:rsidRDefault="00E75F7D" w:rsidP="000E2122">
      <w:pPr>
        <w:shd w:val="clear" w:color="auto" w:fill="FFFFFF"/>
        <w:spacing w:line="360" w:lineRule="auto"/>
        <w:ind w:firstLine="708"/>
        <w:jc w:val="both"/>
        <w:rPr>
          <w:rFonts w:ascii="Arial" w:eastAsia="Arial" w:hAnsi="Arial" w:cs="Arial"/>
          <w:sz w:val="24"/>
          <w:szCs w:val="24"/>
        </w:rPr>
      </w:pPr>
      <w:r w:rsidRPr="000E7AC8">
        <w:rPr>
          <w:rFonts w:ascii="Arial" w:eastAsia="Arial" w:hAnsi="Arial" w:cs="Arial"/>
          <w:sz w:val="24"/>
          <w:szCs w:val="24"/>
        </w:rPr>
        <w:t xml:space="preserve">A Floresta Estadual Tapauá, localizada nos municípios de Tapauá e Canutama, possui uma área de cerca de 881.704,00 ha. A Floresta foi criada pelo Decreto Estadual </w:t>
      </w:r>
      <w:r w:rsidRPr="000E7AC8">
        <w:rPr>
          <w:rFonts w:ascii="Arial" w:eastAsia="Arial" w:hAnsi="Arial" w:cs="Arial"/>
          <w:sz w:val="24"/>
          <w:szCs w:val="24"/>
        </w:rPr>
        <w:lastRenderedPageBreak/>
        <w:t>nº 28.419/2009, com Conselho Consultivo da Floresta de Ta</w:t>
      </w:r>
      <w:r w:rsidR="008E01A5">
        <w:rPr>
          <w:rFonts w:ascii="Arial" w:eastAsia="Arial" w:hAnsi="Arial" w:cs="Arial"/>
          <w:sz w:val="24"/>
          <w:szCs w:val="24"/>
        </w:rPr>
        <w:t xml:space="preserve">pauá criado pelo Portaria SDS nº </w:t>
      </w:r>
      <w:r w:rsidRPr="000E7AC8">
        <w:rPr>
          <w:rFonts w:ascii="Arial" w:eastAsia="Arial" w:hAnsi="Arial" w:cs="Arial"/>
          <w:sz w:val="24"/>
          <w:szCs w:val="24"/>
        </w:rPr>
        <w:t xml:space="preserve">011/2014 e com Plano de Gestão aprovado pela Portaria Sema nº 123/2014 </w:t>
      </w:r>
      <w:r w:rsidR="003C5CA0" w:rsidRPr="000E7AC8">
        <w:rPr>
          <w:rFonts w:ascii="Arial" w:hAnsi="Arial" w:cs="Arial"/>
          <w:noProof/>
        </w:rPr>
        <mc:AlternateContent>
          <mc:Choice Requires="wps">
            <w:drawing>
              <wp:anchor distT="0" distB="0" distL="114300" distR="114300" simplePos="0" relativeHeight="251685888" behindDoc="0" locked="0" layoutInCell="1" allowOverlap="1" wp14:anchorId="79E6A7AD" wp14:editId="20BB8219">
                <wp:simplePos x="0" y="0"/>
                <wp:positionH relativeFrom="page">
                  <wp:posOffset>1120140</wp:posOffset>
                </wp:positionH>
                <wp:positionV relativeFrom="paragraph">
                  <wp:posOffset>777240</wp:posOffset>
                </wp:positionV>
                <wp:extent cx="5939790" cy="457200"/>
                <wp:effectExtent l="0" t="0" r="3810" b="0"/>
                <wp:wrapTopAndBottom/>
                <wp:docPr id="7" name="Caixa de Texto 7"/>
                <wp:cNvGraphicFramePr/>
                <a:graphic xmlns:a="http://schemas.openxmlformats.org/drawingml/2006/main">
                  <a:graphicData uri="http://schemas.microsoft.com/office/word/2010/wordprocessingShape">
                    <wps:wsp>
                      <wps:cNvSpPr txBox="1"/>
                      <wps:spPr>
                        <a:xfrm>
                          <a:off x="0" y="0"/>
                          <a:ext cx="5939790" cy="457200"/>
                        </a:xfrm>
                        <a:prstGeom prst="rect">
                          <a:avLst/>
                        </a:prstGeom>
                        <a:solidFill>
                          <a:prstClr val="white"/>
                        </a:solidFill>
                        <a:ln>
                          <a:noFill/>
                        </a:ln>
                      </wps:spPr>
                      <wps:txbx>
                        <w:txbxContent>
                          <w:p w:rsidR="00CA56D3" w:rsidRPr="000E2122" w:rsidRDefault="00CA56D3" w:rsidP="000E2122">
                            <w:pPr>
                              <w:pStyle w:val="Legenda"/>
                              <w:rPr>
                                <w:rFonts w:ascii="Arial" w:eastAsia="Arial" w:hAnsi="Arial" w:cs="Arial"/>
                                <w:i w:val="0"/>
                                <w:color w:val="auto"/>
                              </w:rPr>
                            </w:pPr>
                            <w:bookmarkStart w:id="99" w:name="_Toc180054231"/>
                            <w:bookmarkStart w:id="100" w:name="_Toc180139798"/>
                            <w:r w:rsidRPr="000E2122">
                              <w:rPr>
                                <w:rFonts w:ascii="Arial" w:hAnsi="Arial" w:cs="Arial"/>
                                <w:i w:val="0"/>
                                <w:color w:val="auto"/>
                              </w:rPr>
                              <w:t xml:space="preserve">Figura </w:t>
                            </w:r>
                            <w:r w:rsidRPr="000E2122">
                              <w:rPr>
                                <w:rFonts w:ascii="Arial" w:hAnsi="Arial" w:cs="Arial"/>
                                <w:i w:val="0"/>
                                <w:color w:val="auto"/>
                              </w:rPr>
                              <w:fldChar w:fldCharType="begin"/>
                            </w:r>
                            <w:r w:rsidRPr="000E2122">
                              <w:rPr>
                                <w:rFonts w:ascii="Arial" w:hAnsi="Arial" w:cs="Arial"/>
                                <w:i w:val="0"/>
                                <w:color w:val="auto"/>
                              </w:rPr>
                              <w:instrText xml:space="preserve"> SEQ Figura \* ARABIC </w:instrText>
                            </w:r>
                            <w:r w:rsidRPr="000E2122">
                              <w:rPr>
                                <w:rFonts w:ascii="Arial" w:hAnsi="Arial" w:cs="Arial"/>
                                <w:i w:val="0"/>
                                <w:color w:val="auto"/>
                              </w:rPr>
                              <w:fldChar w:fldCharType="separate"/>
                            </w:r>
                            <w:r>
                              <w:rPr>
                                <w:rFonts w:ascii="Arial" w:hAnsi="Arial" w:cs="Arial"/>
                                <w:i w:val="0"/>
                                <w:noProof/>
                                <w:color w:val="auto"/>
                              </w:rPr>
                              <w:t>19</w:t>
                            </w:r>
                            <w:r w:rsidRPr="000E2122">
                              <w:rPr>
                                <w:rFonts w:ascii="Arial" w:hAnsi="Arial" w:cs="Arial"/>
                                <w:i w:val="0"/>
                                <w:color w:val="auto"/>
                              </w:rPr>
                              <w:fldChar w:fldCharType="end"/>
                            </w:r>
                            <w:r w:rsidRPr="000E2122">
                              <w:rPr>
                                <w:rFonts w:ascii="Arial" w:hAnsi="Arial" w:cs="Arial"/>
                                <w:i w:val="0"/>
                                <w:color w:val="auto"/>
                              </w:rPr>
                              <w:t>. Mapa da área de abrangência da Floresta Estadual de Tapauá.</w:t>
                            </w:r>
                            <w:bookmarkEnd w:id="99"/>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9E6A7AD" id="Caixa de Texto 7" o:spid="_x0000_s1031" type="#_x0000_t202" style="position:absolute;left:0;text-align:left;margin-left:88.2pt;margin-top:61.2pt;width:467.7pt;height:36pt;z-index:25168588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" stroked="f">
                <v:textbox inset="0,0,0,0">
                  <w:txbxContent>
                    <w:p w:rsidR="00CA56D3" w:rsidRPr="000E2122" w:rsidRDefault="00CA56D3" w:rsidP="000E2122">
                      <w:pPr>
                        <w:pStyle w:val="Legenda"/>
                        <w:rPr>
                          <w:rFonts w:ascii="Arial" w:eastAsia="Arial" w:hAnsi="Arial" w:cs="Arial"/>
                          <w:i w:val="0"/>
                          <w:color w:val="auto"/>
                        </w:rPr>
                      </w:pPr>
                      <w:bookmarkStart w:id="101" w:name="_Toc180054231"/>
                      <w:bookmarkStart w:id="102" w:name="_Toc180139798"/>
                      <w:r w:rsidRPr="000E2122">
                        <w:rPr>
                          <w:rFonts w:ascii="Arial" w:hAnsi="Arial" w:cs="Arial"/>
                          <w:i w:val="0"/>
                          <w:color w:val="auto"/>
                        </w:rPr>
                        <w:t xml:space="preserve">Figura </w:t>
                      </w:r>
                      <w:r w:rsidRPr="000E2122">
                        <w:rPr>
                          <w:rFonts w:ascii="Arial" w:hAnsi="Arial" w:cs="Arial"/>
                          <w:i w:val="0"/>
                          <w:color w:val="auto"/>
                        </w:rPr>
                        <w:fldChar w:fldCharType="begin"/>
                      </w:r>
                      <w:r w:rsidRPr="000E2122">
                        <w:rPr>
                          <w:rFonts w:ascii="Arial" w:hAnsi="Arial" w:cs="Arial"/>
                          <w:i w:val="0"/>
                          <w:color w:val="auto"/>
                        </w:rPr>
                        <w:instrText xml:space="preserve"> SEQ Figura \* ARABIC </w:instrText>
                      </w:r>
                      <w:r w:rsidRPr="000E2122">
                        <w:rPr>
                          <w:rFonts w:ascii="Arial" w:hAnsi="Arial" w:cs="Arial"/>
                          <w:i w:val="0"/>
                          <w:color w:val="auto"/>
                        </w:rPr>
                        <w:fldChar w:fldCharType="separate"/>
                      </w:r>
                      <w:r>
                        <w:rPr>
                          <w:rFonts w:ascii="Arial" w:hAnsi="Arial" w:cs="Arial"/>
                          <w:i w:val="0"/>
                          <w:noProof/>
                          <w:color w:val="auto"/>
                        </w:rPr>
                        <w:t>19</w:t>
                      </w:r>
                      <w:r w:rsidRPr="000E2122">
                        <w:rPr>
                          <w:rFonts w:ascii="Arial" w:hAnsi="Arial" w:cs="Arial"/>
                          <w:i w:val="0"/>
                          <w:color w:val="auto"/>
                        </w:rPr>
                        <w:fldChar w:fldCharType="end"/>
                      </w:r>
                      <w:r w:rsidRPr="000E2122">
                        <w:rPr>
                          <w:rFonts w:ascii="Arial" w:hAnsi="Arial" w:cs="Arial"/>
                          <w:i w:val="0"/>
                          <w:color w:val="auto"/>
                        </w:rPr>
                        <w:t>. Mapa da área de abrangência da Floresta Estadual de Tapauá.</w:t>
                      </w:r>
                      <w:bookmarkEnd w:id="101"/>
                      <w:bookmarkEnd w:id="102"/>
                    </w:p>
                  </w:txbxContent>
                </v:textbox>
                <w10:wrap type="topAndBottom" anchorx="page"/>
              </v:shape>
            </w:pict>
          </mc:Fallback>
        </mc:AlternateContent>
      </w:r>
      <w:r w:rsidRPr="000E7AC8">
        <w:rPr>
          <w:rFonts w:ascii="Arial" w:eastAsia="Arial" w:hAnsi="Arial" w:cs="Arial"/>
          <w:sz w:val="24"/>
          <w:szCs w:val="24"/>
        </w:rPr>
        <w:t>(Figura 19).</w:t>
      </w:r>
    </w:p>
    <w:p w:rsidR="002B7C6D" w:rsidRPr="000E7AC8" w:rsidRDefault="00E75F7D">
      <w:pPr>
        <w:pBdr>
          <w:top w:val="nil"/>
          <w:left w:val="nil"/>
          <w:bottom w:val="nil"/>
          <w:right w:val="nil"/>
          <w:between w:val="nil"/>
        </w:pBdr>
        <w:spacing w:after="200"/>
        <w:rPr>
          <w:rFonts w:ascii="Arial" w:eastAsia="Arial" w:hAnsi="Arial" w:cs="Arial"/>
          <w:color w:val="000000"/>
        </w:rPr>
      </w:pPr>
      <w:r w:rsidRPr="000E7AC8">
        <w:rPr>
          <w:rFonts w:ascii="Arial" w:hAnsi="Arial" w:cs="Arial"/>
          <w:noProof/>
        </w:rPr>
        <w:drawing>
          <wp:anchor distT="0" distB="0" distL="114300" distR="114300" simplePos="0" relativeHeight="251686912" behindDoc="0" locked="0" layoutInCell="1" hidden="0" allowOverlap="1" wp14:anchorId="547AC270" wp14:editId="048215DD">
            <wp:simplePos x="0" y="0"/>
            <wp:positionH relativeFrom="column">
              <wp:posOffset>-21589</wp:posOffset>
            </wp:positionH>
            <wp:positionV relativeFrom="paragraph">
              <wp:posOffset>262890</wp:posOffset>
            </wp:positionV>
            <wp:extent cx="5939790" cy="4202430"/>
            <wp:effectExtent l="0" t="0" r="0" b="0"/>
            <wp:wrapTopAndBottom distT="0" distB="0"/>
            <wp:docPr id="160312998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2"/>
                    <a:srcRect/>
                    <a:stretch>
                      <a:fillRect/>
                    </a:stretch>
                  </pic:blipFill>
                  <pic:spPr>
                    <a:xfrm>
                      <a:off x="0" y="0"/>
                      <a:ext cx="5939790" cy="4202430"/>
                    </a:xfrm>
                    <a:prstGeom prst="rect">
                      <a:avLst/>
                    </a:prstGeom>
                    <a:ln/>
                  </pic:spPr>
                </pic:pic>
              </a:graphicData>
            </a:graphic>
          </wp:anchor>
        </w:drawing>
      </w:r>
    </w:p>
    <w:p w:rsidR="002B7C6D" w:rsidRPr="000E7AC8" w:rsidRDefault="002B7C6D">
      <w:pPr>
        <w:rPr>
          <w:rFonts w:ascii="Arial" w:hAnsi="Arial" w:cs="Arial"/>
        </w:rPr>
      </w:pPr>
    </w:p>
    <w:p w:rsidR="002B7C6D" w:rsidRPr="000E7AC8" w:rsidRDefault="00E75F7D">
      <w:pPr>
        <w:shd w:val="clear" w:color="auto" w:fill="FFFFFF"/>
        <w:spacing w:line="360" w:lineRule="auto"/>
        <w:ind w:firstLine="720"/>
        <w:jc w:val="both"/>
        <w:rPr>
          <w:rFonts w:ascii="Arial" w:eastAsia="Arial" w:hAnsi="Arial" w:cs="Arial"/>
          <w:sz w:val="24"/>
          <w:szCs w:val="24"/>
        </w:rPr>
      </w:pPr>
      <w:r w:rsidRPr="000E7AC8">
        <w:rPr>
          <w:rFonts w:ascii="Arial" w:eastAsia="Arial" w:hAnsi="Arial" w:cs="Arial"/>
          <w:sz w:val="24"/>
          <w:szCs w:val="24"/>
        </w:rPr>
        <w:t xml:space="preserve">A Floresta Estadual está situada no Trecho 2 da BR-319 </w:t>
      </w:r>
      <w:r w:rsidR="008E01A5" w:rsidRPr="000E7AC8">
        <w:rPr>
          <w:rFonts w:ascii="Arial" w:eastAsia="Arial" w:hAnsi="Arial" w:cs="Arial"/>
          <w:sz w:val="24"/>
          <w:szCs w:val="24"/>
        </w:rPr>
        <w:t>(</w:t>
      </w:r>
      <w:r w:rsidR="008E01A5">
        <w:rPr>
          <w:rFonts w:ascii="Arial" w:eastAsia="Arial" w:hAnsi="Arial" w:cs="Arial"/>
          <w:sz w:val="24"/>
          <w:szCs w:val="24"/>
        </w:rPr>
        <w:t xml:space="preserve">do </w:t>
      </w:r>
      <w:r w:rsidR="008E01A5">
        <w:rPr>
          <w:rFonts w:ascii="Arial" w:eastAsia="Arial" w:hAnsi="Arial" w:cs="Arial"/>
          <w:sz w:val="24"/>
          <w:szCs w:val="24"/>
        </w:rPr>
        <w:t xml:space="preserve">km 365 ao km 567) </w:t>
      </w:r>
      <w:r w:rsidRPr="000E7AC8">
        <w:rPr>
          <w:rFonts w:ascii="Arial" w:eastAsia="Arial" w:hAnsi="Arial" w:cs="Arial"/>
          <w:sz w:val="24"/>
          <w:szCs w:val="24"/>
        </w:rPr>
        <w:t xml:space="preserve">e limita-se ao norte pelos projetos de desenvolvimento sustentável do Instituto Nacional da Colonização e Reforma Agrária (Incra), entre eles os Projetos de Desenvolvimento Sustentável (PDS) Primavera e Sumaúma. Segundo o Plano de Gestão da Floresta </w:t>
      </w:r>
      <w:r w:rsidRPr="000E7AC8">
        <w:rPr>
          <w:rFonts w:ascii="Arial" w:eastAsia="Arial" w:hAnsi="Arial" w:cs="Arial"/>
          <w:sz w:val="25"/>
          <w:szCs w:val="25"/>
        </w:rPr>
        <w:t>Tapauá (2014) habitam, aproximadamente, 370 pessoas na UC, distribuídas em 28 comunidades/localidades.</w:t>
      </w:r>
    </w:p>
    <w:p w:rsidR="002B7C6D" w:rsidRPr="000E7AC8" w:rsidRDefault="00E75F7D">
      <w:pPr>
        <w:shd w:val="clear" w:color="auto" w:fill="FFFFFF"/>
        <w:spacing w:line="360" w:lineRule="auto"/>
        <w:ind w:firstLine="720"/>
        <w:jc w:val="both"/>
        <w:rPr>
          <w:rFonts w:ascii="Arial" w:eastAsia="Arial" w:hAnsi="Arial" w:cs="Arial"/>
          <w:sz w:val="24"/>
          <w:szCs w:val="24"/>
        </w:rPr>
      </w:pPr>
      <w:r w:rsidRPr="000E7AC8">
        <w:rPr>
          <w:rFonts w:ascii="Arial" w:eastAsia="Arial" w:hAnsi="Arial" w:cs="Arial"/>
          <w:sz w:val="24"/>
          <w:szCs w:val="24"/>
        </w:rPr>
        <w:lastRenderedPageBreak/>
        <w:t>As comunidades e localidades dentro da UC e na sua zona de amortecimento estão distribuídas ao longo dos principais rios e igarapés, formando quatro setores populacionais: Igarapé Jacinto, Rio Ipixuna, Rio Itaparanã e Rio Jacaré.</w:t>
      </w:r>
    </w:p>
    <w:p w:rsidR="002B7C6D" w:rsidRPr="000E7AC8" w:rsidRDefault="00E75F7D">
      <w:pPr>
        <w:shd w:val="clear" w:color="auto" w:fill="FFFFFF"/>
        <w:spacing w:line="360" w:lineRule="auto"/>
        <w:ind w:firstLine="720"/>
        <w:jc w:val="both"/>
        <w:rPr>
          <w:rFonts w:ascii="Arial" w:eastAsia="Arial" w:hAnsi="Arial" w:cs="Arial"/>
          <w:sz w:val="24"/>
          <w:szCs w:val="24"/>
        </w:rPr>
      </w:pPr>
      <w:r w:rsidRPr="000E7AC8">
        <w:rPr>
          <w:rFonts w:ascii="Arial" w:eastAsia="Arial" w:hAnsi="Arial" w:cs="Arial"/>
          <w:sz w:val="24"/>
          <w:szCs w:val="24"/>
        </w:rPr>
        <w:t xml:space="preserve">Na Floresta Estadual de Tapauá há predominância </w:t>
      </w:r>
      <w:r w:rsidR="008E01A5">
        <w:rPr>
          <w:rFonts w:ascii="Arial" w:eastAsia="Arial" w:hAnsi="Arial" w:cs="Arial"/>
          <w:sz w:val="24"/>
          <w:szCs w:val="24"/>
        </w:rPr>
        <w:t xml:space="preserve">de </w:t>
      </w:r>
      <w:r w:rsidRPr="000E7AC8">
        <w:rPr>
          <w:rFonts w:ascii="Arial" w:eastAsia="Arial" w:hAnsi="Arial" w:cs="Arial"/>
          <w:sz w:val="24"/>
          <w:szCs w:val="24"/>
        </w:rPr>
        <w:t>latossolo vermelho-amarelo. Suas atividades economicamente potenciais são pesca, extrativismo vegetal de castanha e açaí, e manejo madeireiro, sendo atualmente desenvolvidas as atividades no âmbito da agricultura familiar; extrativismo animal: pesca e caça; criação de animais domésticos para subsistência e comercialização.</w:t>
      </w:r>
    </w:p>
    <w:p w:rsidR="002B7C6D" w:rsidRPr="000E7AC8" w:rsidRDefault="00E75F7D" w:rsidP="009477FC">
      <w:pPr>
        <w:spacing w:line="360" w:lineRule="auto"/>
        <w:rPr>
          <w:rFonts w:ascii="Arial" w:eastAsia="Arial" w:hAnsi="Arial" w:cs="Arial"/>
          <w:sz w:val="24"/>
          <w:szCs w:val="24"/>
        </w:rPr>
      </w:pPr>
      <w:r w:rsidRPr="000E7AC8">
        <w:rPr>
          <w:rFonts w:ascii="Arial" w:eastAsia="Arial" w:hAnsi="Arial" w:cs="Arial"/>
          <w:sz w:val="24"/>
          <w:szCs w:val="24"/>
        </w:rPr>
        <w:t>A subzona de uso madeireiro possui cerca de 184.456,04 ha de áreas de florestas com potencial para atividades de manejo florestal sustentável (Figura 20).</w:t>
      </w:r>
    </w:p>
    <w:p w:rsidR="002B7C6D" w:rsidRPr="000E7AC8" w:rsidRDefault="00222F5E">
      <w:pPr>
        <w:pBdr>
          <w:top w:val="nil"/>
          <w:left w:val="nil"/>
          <w:bottom w:val="nil"/>
          <w:right w:val="nil"/>
          <w:between w:val="nil"/>
        </w:pBdr>
        <w:spacing w:after="200"/>
        <w:rPr>
          <w:rFonts w:ascii="Arial" w:eastAsia="Arial" w:hAnsi="Arial" w:cs="Arial"/>
          <w:color w:val="000000"/>
          <w:sz w:val="18"/>
          <w:szCs w:val="18"/>
        </w:rPr>
      </w:pPr>
      <w:r w:rsidRPr="000E7AC8">
        <w:rPr>
          <w:rFonts w:ascii="Arial" w:hAnsi="Arial" w:cs="Arial"/>
          <w:noProof/>
        </w:rPr>
        <w:drawing>
          <wp:anchor distT="0" distB="0" distL="114300" distR="114300" simplePos="0" relativeHeight="251664384" behindDoc="0" locked="0" layoutInCell="1" hidden="0" allowOverlap="1" wp14:anchorId="1F53986B" wp14:editId="650AFC36">
            <wp:simplePos x="0" y="0"/>
            <wp:positionH relativeFrom="margin">
              <wp:align>right</wp:align>
            </wp:positionH>
            <wp:positionV relativeFrom="paragraph">
              <wp:posOffset>412750</wp:posOffset>
            </wp:positionV>
            <wp:extent cx="5677535" cy="4284345"/>
            <wp:effectExtent l="0" t="0" r="0" b="1905"/>
            <wp:wrapTopAndBottom distT="0" distB="0"/>
            <wp:docPr id="160312998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3">
                      <a:extLst>
                        <a:ext uri="{28A0092B-C50C-407E-A947-70E740481C1C}">
                          <a14:useLocalDpi xmlns:a14="http://schemas.microsoft.com/office/drawing/2010/main" val="0"/>
                        </a:ext>
                      </a:extLst>
                    </a:blip>
                    <a:stretch>
                      <a:fillRect/>
                    </a:stretch>
                  </pic:blipFill>
                  <pic:spPr>
                    <a:xfrm>
                      <a:off x="0" y="0"/>
                      <a:ext cx="5677535" cy="4284345"/>
                    </a:xfrm>
                    <a:prstGeom prst="rect">
                      <a:avLst/>
                    </a:prstGeom>
                    <a:ln/>
                  </pic:spPr>
                </pic:pic>
              </a:graphicData>
            </a:graphic>
            <wp14:sizeRelH relativeFrom="margin">
              <wp14:pctWidth>0</wp14:pctWidth>
            </wp14:sizeRelH>
            <wp14:sizeRelV relativeFrom="margin">
              <wp14:pctHeight>0</wp14:pctHeight>
            </wp14:sizeRelV>
          </wp:anchor>
        </w:drawing>
      </w:r>
      <w:r w:rsidR="000E2122" w:rsidRPr="000E7AC8">
        <w:rPr>
          <w:rFonts w:ascii="Arial" w:hAnsi="Arial" w:cs="Arial"/>
          <w:noProof/>
        </w:rPr>
        <mc:AlternateContent>
          <mc:Choice Requires="wps">
            <w:drawing>
              <wp:anchor distT="0" distB="0" distL="114300" distR="114300" simplePos="0" relativeHeight="251688960" behindDoc="0" locked="0" layoutInCell="1" allowOverlap="1" wp14:anchorId="507B0090" wp14:editId="19D17ECA">
                <wp:simplePos x="0" y="0"/>
                <wp:positionH relativeFrom="column">
                  <wp:posOffset>-18415</wp:posOffset>
                </wp:positionH>
                <wp:positionV relativeFrom="paragraph">
                  <wp:posOffset>187960</wp:posOffset>
                </wp:positionV>
                <wp:extent cx="5414010" cy="457200"/>
                <wp:effectExtent l="0" t="0" r="0" b="0"/>
                <wp:wrapTopAndBottom/>
                <wp:docPr id="8" name="Caixa de Texto 8"/>
                <wp:cNvGraphicFramePr/>
                <a:graphic xmlns:a="http://schemas.openxmlformats.org/drawingml/2006/main">
                  <a:graphicData uri="http://schemas.microsoft.com/office/word/2010/wordprocessingShape">
                    <wps:wsp>
                      <wps:cNvSpPr txBox="1"/>
                      <wps:spPr>
                        <a:xfrm>
                          <a:off x="0" y="0"/>
                          <a:ext cx="5414010" cy="457200"/>
                        </a:xfrm>
                        <a:prstGeom prst="rect">
                          <a:avLst/>
                        </a:prstGeom>
                        <a:solidFill>
                          <a:prstClr val="white"/>
                        </a:solidFill>
                        <a:ln>
                          <a:noFill/>
                        </a:ln>
                      </wps:spPr>
                      <wps:txbx>
                        <w:txbxContent>
                          <w:p w:rsidR="00CA56D3" w:rsidRPr="000E2122" w:rsidRDefault="00CA56D3" w:rsidP="000E2122">
                            <w:pPr>
                              <w:pStyle w:val="Legenda"/>
                              <w:rPr>
                                <w:rFonts w:ascii="Arial" w:hAnsi="Arial" w:cs="Arial"/>
                                <w:i w:val="0"/>
                                <w:noProof/>
                                <w:color w:val="auto"/>
                                <w:sz w:val="20"/>
                                <w:szCs w:val="20"/>
                              </w:rPr>
                            </w:pPr>
                            <w:bookmarkStart w:id="103" w:name="_Toc180054232"/>
                            <w:bookmarkStart w:id="104" w:name="_Toc180139799"/>
                            <w:r w:rsidRPr="000E2122">
                              <w:rPr>
                                <w:rFonts w:ascii="Arial" w:hAnsi="Arial" w:cs="Arial"/>
                                <w:i w:val="0"/>
                                <w:color w:val="auto"/>
                              </w:rPr>
                              <w:t xml:space="preserve">Figura </w:t>
                            </w:r>
                            <w:r w:rsidRPr="000E2122">
                              <w:rPr>
                                <w:rFonts w:ascii="Arial" w:hAnsi="Arial" w:cs="Arial"/>
                                <w:i w:val="0"/>
                                <w:color w:val="auto"/>
                              </w:rPr>
                              <w:fldChar w:fldCharType="begin"/>
                            </w:r>
                            <w:r w:rsidRPr="000E2122">
                              <w:rPr>
                                <w:rFonts w:ascii="Arial" w:hAnsi="Arial" w:cs="Arial"/>
                                <w:i w:val="0"/>
                                <w:color w:val="auto"/>
                              </w:rPr>
                              <w:instrText xml:space="preserve"> SEQ Figura \* ARABIC </w:instrText>
                            </w:r>
                            <w:r w:rsidRPr="000E2122">
                              <w:rPr>
                                <w:rFonts w:ascii="Arial" w:hAnsi="Arial" w:cs="Arial"/>
                                <w:i w:val="0"/>
                                <w:color w:val="auto"/>
                              </w:rPr>
                              <w:fldChar w:fldCharType="separate"/>
                            </w:r>
                            <w:r>
                              <w:rPr>
                                <w:rFonts w:ascii="Arial" w:hAnsi="Arial" w:cs="Arial"/>
                                <w:i w:val="0"/>
                                <w:noProof/>
                                <w:color w:val="auto"/>
                              </w:rPr>
                              <w:t>20</w:t>
                            </w:r>
                            <w:r w:rsidRPr="000E2122">
                              <w:rPr>
                                <w:rFonts w:ascii="Arial" w:hAnsi="Arial" w:cs="Arial"/>
                                <w:i w:val="0"/>
                                <w:color w:val="auto"/>
                              </w:rPr>
                              <w:fldChar w:fldCharType="end"/>
                            </w:r>
                            <w:r w:rsidRPr="000E2122">
                              <w:rPr>
                                <w:rFonts w:ascii="Arial" w:hAnsi="Arial" w:cs="Arial"/>
                                <w:i w:val="0"/>
                                <w:color w:val="auto"/>
                              </w:rPr>
                              <w:t>. Atualização no zoneamento da Floresta Estadual de Tapauá.</w:t>
                            </w:r>
                            <w:bookmarkEnd w:id="103"/>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07B0090" id="Caixa de Texto 8" o:spid="_x0000_s1032" type="#_x0000_t202" style="position:absolute;margin-left:-1.45pt;margin-top:14.8pt;width:426.3pt;height:36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" stroked="f">
                <v:textbox inset="0,0,0,0">
                  <w:txbxContent>
                    <w:p w:rsidR="00CA56D3" w:rsidRPr="000E2122" w:rsidRDefault="00CA56D3" w:rsidP="000E2122">
                      <w:pPr>
                        <w:pStyle w:val="Legenda"/>
                        <w:rPr>
                          <w:rFonts w:ascii="Arial" w:hAnsi="Arial" w:cs="Arial"/>
                          <w:i w:val="0"/>
                          <w:noProof/>
                          <w:color w:val="auto"/>
                          <w:sz w:val="20"/>
                          <w:szCs w:val="20"/>
                        </w:rPr>
                      </w:pPr>
                      <w:bookmarkStart w:id="105" w:name="_Toc180054232"/>
                      <w:bookmarkStart w:id="106" w:name="_Toc180139799"/>
                      <w:r w:rsidRPr="000E2122">
                        <w:rPr>
                          <w:rFonts w:ascii="Arial" w:hAnsi="Arial" w:cs="Arial"/>
                          <w:i w:val="0"/>
                          <w:color w:val="auto"/>
                        </w:rPr>
                        <w:t xml:space="preserve">Figura </w:t>
                      </w:r>
                      <w:r w:rsidRPr="000E2122">
                        <w:rPr>
                          <w:rFonts w:ascii="Arial" w:hAnsi="Arial" w:cs="Arial"/>
                          <w:i w:val="0"/>
                          <w:color w:val="auto"/>
                        </w:rPr>
                        <w:fldChar w:fldCharType="begin"/>
                      </w:r>
                      <w:r w:rsidRPr="000E2122">
                        <w:rPr>
                          <w:rFonts w:ascii="Arial" w:hAnsi="Arial" w:cs="Arial"/>
                          <w:i w:val="0"/>
                          <w:color w:val="auto"/>
                        </w:rPr>
                        <w:instrText xml:space="preserve"> SEQ Figura \* ARABIC </w:instrText>
                      </w:r>
                      <w:r w:rsidRPr="000E2122">
                        <w:rPr>
                          <w:rFonts w:ascii="Arial" w:hAnsi="Arial" w:cs="Arial"/>
                          <w:i w:val="0"/>
                          <w:color w:val="auto"/>
                        </w:rPr>
                        <w:fldChar w:fldCharType="separate"/>
                      </w:r>
                      <w:r>
                        <w:rPr>
                          <w:rFonts w:ascii="Arial" w:hAnsi="Arial" w:cs="Arial"/>
                          <w:i w:val="0"/>
                          <w:noProof/>
                          <w:color w:val="auto"/>
                        </w:rPr>
                        <w:t>20</w:t>
                      </w:r>
                      <w:r w:rsidRPr="000E2122">
                        <w:rPr>
                          <w:rFonts w:ascii="Arial" w:hAnsi="Arial" w:cs="Arial"/>
                          <w:i w:val="0"/>
                          <w:color w:val="auto"/>
                        </w:rPr>
                        <w:fldChar w:fldCharType="end"/>
                      </w:r>
                      <w:r w:rsidRPr="000E2122">
                        <w:rPr>
                          <w:rFonts w:ascii="Arial" w:hAnsi="Arial" w:cs="Arial"/>
                          <w:i w:val="0"/>
                          <w:color w:val="auto"/>
                        </w:rPr>
                        <w:t>. Atualização no zoneamento da Floresta Estadual de Tapauá.</w:t>
                      </w:r>
                      <w:bookmarkEnd w:id="105"/>
                      <w:bookmarkEnd w:id="106"/>
                    </w:p>
                  </w:txbxContent>
                </v:textbox>
                <w10:wrap type="topAndBottom"/>
              </v:shape>
            </w:pict>
          </mc:Fallback>
        </mc:AlternateContent>
      </w:r>
    </w:p>
    <w:p w:rsidR="002B7C6D" w:rsidRPr="000E7AC8" w:rsidRDefault="002B7C6D">
      <w:pPr>
        <w:pBdr>
          <w:top w:val="nil"/>
          <w:left w:val="nil"/>
          <w:bottom w:val="nil"/>
          <w:right w:val="nil"/>
          <w:between w:val="nil"/>
        </w:pBdr>
        <w:spacing w:after="200"/>
        <w:jc w:val="both"/>
        <w:rPr>
          <w:rFonts w:ascii="Arial" w:eastAsia="Arial" w:hAnsi="Arial" w:cs="Arial"/>
          <w:i/>
          <w:color w:val="000000"/>
          <w:sz w:val="24"/>
          <w:szCs w:val="24"/>
        </w:rPr>
      </w:pPr>
    </w:p>
    <w:p w:rsidR="002B7C6D" w:rsidRPr="000E7AC8" w:rsidRDefault="002B7C6D">
      <w:pPr>
        <w:rPr>
          <w:rFonts w:ascii="Arial" w:hAnsi="Arial" w:cs="Arial"/>
        </w:rPr>
      </w:pPr>
    </w:p>
    <w:p w:rsidR="002B7C6D" w:rsidRPr="000E7AC8" w:rsidRDefault="00E75F7D">
      <w:pPr>
        <w:pStyle w:val="Ttulo2"/>
        <w:numPr>
          <w:ilvl w:val="1"/>
          <w:numId w:val="5"/>
        </w:numPr>
        <w:ind w:left="0" w:firstLine="851"/>
        <w:rPr>
          <w:rFonts w:ascii="Arial" w:eastAsia="Arial" w:hAnsi="Arial" w:cs="Arial"/>
          <w:b/>
          <w:color w:val="38761D"/>
          <w:sz w:val="28"/>
          <w:szCs w:val="28"/>
        </w:rPr>
      </w:pPr>
      <w:bookmarkStart w:id="107" w:name="_Toc180138751"/>
      <w:r w:rsidRPr="000E7AC8">
        <w:rPr>
          <w:rFonts w:ascii="Arial" w:eastAsia="Arial" w:hAnsi="Arial" w:cs="Arial"/>
          <w:b/>
          <w:color w:val="38761D"/>
          <w:sz w:val="28"/>
          <w:szCs w:val="28"/>
        </w:rPr>
        <w:t>FLORESTA ESTADUAL DE MAUÉS</w:t>
      </w:r>
      <w:bookmarkEnd w:id="107"/>
    </w:p>
    <w:p w:rsidR="002B7C6D" w:rsidRPr="000E7AC8" w:rsidRDefault="002B7C6D">
      <w:pPr>
        <w:rPr>
          <w:rFonts w:ascii="Arial" w:eastAsia="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 Floresta Estadual de Maués, localizada no município de Maués, possui uma área total de 449.715,43 ha. A UC foi criada pelo Decreto Estadual nº 23.540/2003, com Conselho Consultivo </w:t>
      </w:r>
      <w:r w:rsidR="009477FC">
        <w:rPr>
          <w:rFonts w:ascii="Arial" w:eastAsia="Arial" w:hAnsi="Arial" w:cs="Arial"/>
          <w:sz w:val="24"/>
          <w:szCs w:val="24"/>
        </w:rPr>
        <w:t>instituído pela</w:t>
      </w:r>
      <w:r w:rsidRPr="000E7AC8">
        <w:rPr>
          <w:rFonts w:ascii="Arial" w:eastAsia="Arial" w:hAnsi="Arial" w:cs="Arial"/>
          <w:sz w:val="24"/>
          <w:szCs w:val="24"/>
        </w:rPr>
        <w:t xml:space="preserve"> Portaria </w:t>
      </w:r>
      <w:r w:rsidR="009477FC">
        <w:rPr>
          <w:rFonts w:ascii="Arial" w:eastAsia="Arial" w:hAnsi="Arial" w:cs="Arial"/>
          <w:sz w:val="24"/>
          <w:szCs w:val="24"/>
        </w:rPr>
        <w:t xml:space="preserve">nº </w:t>
      </w:r>
      <w:r w:rsidRPr="000E7AC8">
        <w:rPr>
          <w:rFonts w:ascii="Arial" w:eastAsia="Arial" w:hAnsi="Arial" w:cs="Arial"/>
          <w:sz w:val="24"/>
          <w:szCs w:val="24"/>
        </w:rPr>
        <w:t>002/2010</w:t>
      </w:r>
      <w:r w:rsidR="009477FC">
        <w:rPr>
          <w:rFonts w:ascii="Arial" w:eastAsia="Arial" w:hAnsi="Arial" w:cs="Arial"/>
          <w:sz w:val="24"/>
          <w:szCs w:val="24"/>
        </w:rPr>
        <w:t xml:space="preserve">, da então </w:t>
      </w:r>
      <w:r w:rsidR="009477FC" w:rsidRPr="000E7AC8">
        <w:rPr>
          <w:rFonts w:ascii="Arial" w:eastAsia="Arial" w:hAnsi="Arial" w:cs="Arial"/>
          <w:sz w:val="24"/>
          <w:szCs w:val="24"/>
        </w:rPr>
        <w:t>Secretaria de Estado do Meio Ambiente e Desenvolvimento Sustentável (SDS)</w:t>
      </w:r>
      <w:r w:rsidR="009477FC">
        <w:rPr>
          <w:rFonts w:ascii="Arial" w:eastAsia="Arial" w:hAnsi="Arial" w:cs="Arial"/>
          <w:sz w:val="24"/>
          <w:szCs w:val="24"/>
        </w:rPr>
        <w:t xml:space="preserve">, </w:t>
      </w:r>
      <w:r w:rsidRPr="000E7AC8">
        <w:rPr>
          <w:rFonts w:ascii="Arial" w:eastAsia="Arial" w:hAnsi="Arial" w:cs="Arial"/>
          <w:sz w:val="24"/>
          <w:szCs w:val="24"/>
        </w:rPr>
        <w:t xml:space="preserve">e Plano de Gestão aprovado pela Portaria SDS nº 046/2012 (Figura 21). </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Entre os objetivos de criação desta UC, destacam-se, segundo o Decreto Estadual nº 23.540</w:t>
      </w:r>
      <w:r w:rsidR="009477FC">
        <w:rPr>
          <w:rFonts w:ascii="Arial" w:eastAsia="Arial" w:hAnsi="Arial" w:cs="Arial"/>
          <w:sz w:val="24"/>
          <w:szCs w:val="24"/>
        </w:rPr>
        <w:t>,</w:t>
      </w:r>
      <w:r w:rsidRPr="000E7AC8">
        <w:rPr>
          <w:rFonts w:ascii="Arial" w:eastAsia="Arial" w:hAnsi="Arial" w:cs="Arial"/>
          <w:sz w:val="24"/>
          <w:szCs w:val="24"/>
        </w:rPr>
        <w:t xml:space="preserve"> de 19 de julho de 2003, o uso dos recursos naturais permitindo a exploração dos recursos disponíveis em regime de mane</w:t>
      </w:r>
      <w:r w:rsidR="009477FC">
        <w:rPr>
          <w:rFonts w:ascii="Arial" w:eastAsia="Arial" w:hAnsi="Arial" w:cs="Arial"/>
          <w:sz w:val="24"/>
          <w:szCs w:val="24"/>
        </w:rPr>
        <w:t xml:space="preserve">jo sustentável e fortalecendo a </w:t>
      </w:r>
      <w:r w:rsidRPr="000E7AC8">
        <w:rPr>
          <w:rFonts w:ascii="Arial" w:eastAsia="Arial" w:hAnsi="Arial" w:cs="Arial"/>
          <w:sz w:val="24"/>
          <w:szCs w:val="24"/>
        </w:rPr>
        <w:t>importância estratégica das florestas para a promoção do desenvolvimento sustentável do</w:t>
      </w:r>
      <w:r w:rsidR="009477FC">
        <w:rPr>
          <w:rFonts w:ascii="Arial" w:eastAsia="Arial" w:hAnsi="Arial" w:cs="Arial"/>
          <w:sz w:val="24"/>
          <w:szCs w:val="24"/>
        </w:rPr>
        <w:t xml:space="preserve"> Amazonas</w:t>
      </w:r>
      <w:r w:rsidRPr="000E7AC8">
        <w:rPr>
          <w:rFonts w:ascii="Arial" w:eastAsia="Arial" w:hAnsi="Arial" w:cs="Arial"/>
          <w:sz w:val="24"/>
          <w:szCs w:val="24"/>
        </w:rPr>
        <w:t>, a partir de sistemas de manejo florestal madeireiro e não madeireiro</w:t>
      </w:r>
      <w:r w:rsidR="009477FC">
        <w:rPr>
          <w:rFonts w:ascii="Arial" w:eastAsia="Arial" w:hAnsi="Arial" w:cs="Arial"/>
          <w:sz w:val="24"/>
          <w:szCs w:val="24"/>
        </w:rPr>
        <w:t>,</w:t>
      </w:r>
      <w:r w:rsidRPr="000E7AC8">
        <w:rPr>
          <w:rFonts w:ascii="Arial" w:eastAsia="Arial" w:hAnsi="Arial" w:cs="Arial"/>
          <w:sz w:val="24"/>
          <w:szCs w:val="24"/>
        </w:rPr>
        <w:t xml:space="preserve"> por comunidades locais, </w:t>
      </w:r>
      <w:r w:rsidR="009477FC">
        <w:rPr>
          <w:rFonts w:ascii="Arial" w:eastAsia="Arial" w:hAnsi="Arial" w:cs="Arial"/>
          <w:sz w:val="24"/>
          <w:szCs w:val="24"/>
        </w:rPr>
        <w:t xml:space="preserve">bem como por </w:t>
      </w:r>
      <w:r w:rsidRPr="000E7AC8">
        <w:rPr>
          <w:rFonts w:ascii="Arial" w:eastAsia="Arial" w:hAnsi="Arial" w:cs="Arial"/>
          <w:sz w:val="24"/>
          <w:szCs w:val="24"/>
        </w:rPr>
        <w:t>pequenas, médias e grandes empresas florestais.</w:t>
      </w:r>
    </w:p>
    <w:p w:rsidR="002B7C6D" w:rsidRPr="000E7AC8" w:rsidRDefault="000E2122">
      <w:pPr>
        <w:pBdr>
          <w:top w:val="nil"/>
          <w:left w:val="nil"/>
          <w:bottom w:val="nil"/>
          <w:right w:val="nil"/>
          <w:between w:val="nil"/>
        </w:pBdr>
        <w:spacing w:after="200"/>
        <w:rPr>
          <w:rFonts w:ascii="Arial" w:eastAsia="Arial" w:hAnsi="Arial" w:cs="Arial"/>
          <w:color w:val="000000"/>
          <w:sz w:val="18"/>
          <w:szCs w:val="18"/>
        </w:rPr>
      </w:pPr>
      <w:r w:rsidRPr="000E7AC8">
        <w:rPr>
          <w:rFonts w:ascii="Arial" w:hAnsi="Arial" w:cs="Arial"/>
          <w:noProof/>
        </w:rPr>
        <w:lastRenderedPageBreak/>
        <mc:AlternateContent>
          <mc:Choice Requires="wps">
            <w:drawing>
              <wp:anchor distT="0" distB="0" distL="114300" distR="114300" simplePos="0" relativeHeight="251691008" behindDoc="0" locked="0" layoutInCell="1" allowOverlap="1" wp14:anchorId="15F83F51" wp14:editId="6FA1B3AE">
                <wp:simplePos x="0" y="0"/>
                <wp:positionH relativeFrom="column">
                  <wp:posOffset>0</wp:posOffset>
                </wp:positionH>
                <wp:positionV relativeFrom="paragraph">
                  <wp:posOffset>0</wp:posOffset>
                </wp:positionV>
                <wp:extent cx="5939790" cy="457200"/>
                <wp:effectExtent l="0" t="0" r="3810" b="0"/>
                <wp:wrapTopAndBottom/>
                <wp:docPr id="9" name="Caixa de Texto 9"/>
                <wp:cNvGraphicFramePr/>
                <a:graphic xmlns:a="http://schemas.openxmlformats.org/drawingml/2006/main">
                  <a:graphicData uri="http://schemas.microsoft.com/office/word/2010/wordprocessingShape">
                    <wps:wsp>
                      <wps:cNvSpPr txBox="1"/>
                      <wps:spPr>
                        <a:xfrm>
                          <a:off x="0" y="0"/>
                          <a:ext cx="5939790" cy="457200"/>
                        </a:xfrm>
                        <a:prstGeom prst="rect">
                          <a:avLst/>
                        </a:prstGeom>
                        <a:solidFill>
                          <a:prstClr val="white"/>
                        </a:solidFill>
                        <a:ln>
                          <a:noFill/>
                        </a:ln>
                      </wps:spPr>
                      <wps:txbx>
                        <w:txbxContent>
                          <w:p w:rsidR="00CA56D3" w:rsidRPr="007A345C" w:rsidRDefault="00CA56D3" w:rsidP="000E2122">
                            <w:pPr>
                              <w:pStyle w:val="Legenda"/>
                              <w:rPr>
                                <w:rFonts w:ascii="Arial" w:eastAsia="Arial" w:hAnsi="Arial" w:cs="Arial"/>
                                <w:i w:val="0"/>
                                <w:color w:val="auto"/>
                              </w:rPr>
                            </w:pPr>
                            <w:bookmarkStart w:id="108" w:name="_Toc180054233"/>
                            <w:bookmarkStart w:id="109" w:name="_Toc180139800"/>
                            <w:r w:rsidRPr="007A345C">
                              <w:rPr>
                                <w:rFonts w:ascii="Arial" w:hAnsi="Arial" w:cs="Arial"/>
                                <w:i w:val="0"/>
                                <w:color w:val="auto"/>
                              </w:rPr>
                              <w:t xml:space="preserve">Figura </w:t>
                            </w:r>
                            <w:r w:rsidRPr="007A345C">
                              <w:rPr>
                                <w:rFonts w:ascii="Arial" w:hAnsi="Arial" w:cs="Arial"/>
                                <w:i w:val="0"/>
                                <w:color w:val="auto"/>
                              </w:rPr>
                              <w:fldChar w:fldCharType="begin"/>
                            </w:r>
                            <w:r w:rsidRPr="007A345C">
                              <w:rPr>
                                <w:rFonts w:ascii="Arial" w:hAnsi="Arial" w:cs="Arial"/>
                                <w:i w:val="0"/>
                                <w:color w:val="auto"/>
                              </w:rPr>
                              <w:instrText xml:space="preserve"> SEQ Figura \* ARABIC </w:instrText>
                            </w:r>
                            <w:r w:rsidRPr="007A345C">
                              <w:rPr>
                                <w:rFonts w:ascii="Arial" w:hAnsi="Arial" w:cs="Arial"/>
                                <w:i w:val="0"/>
                                <w:color w:val="auto"/>
                              </w:rPr>
                              <w:fldChar w:fldCharType="separate"/>
                            </w:r>
                            <w:r>
                              <w:rPr>
                                <w:rFonts w:ascii="Arial" w:hAnsi="Arial" w:cs="Arial"/>
                                <w:i w:val="0"/>
                                <w:noProof/>
                                <w:color w:val="auto"/>
                              </w:rPr>
                              <w:t>21</w:t>
                            </w:r>
                            <w:r w:rsidRPr="007A345C">
                              <w:rPr>
                                <w:rFonts w:ascii="Arial" w:hAnsi="Arial" w:cs="Arial"/>
                                <w:i w:val="0"/>
                                <w:color w:val="auto"/>
                              </w:rPr>
                              <w:fldChar w:fldCharType="end"/>
                            </w:r>
                            <w:r w:rsidRPr="007A345C">
                              <w:rPr>
                                <w:rFonts w:ascii="Arial" w:hAnsi="Arial" w:cs="Arial"/>
                                <w:i w:val="0"/>
                                <w:color w:val="auto"/>
                              </w:rPr>
                              <w:t>. Mapa da área de abrangência da Floresta Estadual de Maués.</w:t>
                            </w:r>
                            <w:bookmarkEnd w:id="108"/>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5F83F51" id="Caixa de Texto 9" o:spid="_x0000_s1033" type="#_x0000_t202" style="position:absolute;margin-left:0;margin-top:0;width:467.7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" stroked="f">
                <v:textbox inset="0,0,0,0">
                  <w:txbxContent>
                    <w:p w:rsidR="00CA56D3" w:rsidRPr="007A345C" w:rsidRDefault="00CA56D3" w:rsidP="000E2122">
                      <w:pPr>
                        <w:pStyle w:val="Legenda"/>
                        <w:rPr>
                          <w:rFonts w:ascii="Arial" w:eastAsia="Arial" w:hAnsi="Arial" w:cs="Arial"/>
                          <w:i w:val="0"/>
                          <w:color w:val="auto"/>
                        </w:rPr>
                      </w:pPr>
                      <w:bookmarkStart w:id="110" w:name="_Toc180054233"/>
                      <w:bookmarkStart w:id="111" w:name="_Toc180139800"/>
                      <w:r w:rsidRPr="007A345C">
                        <w:rPr>
                          <w:rFonts w:ascii="Arial" w:hAnsi="Arial" w:cs="Arial"/>
                          <w:i w:val="0"/>
                          <w:color w:val="auto"/>
                        </w:rPr>
                        <w:t xml:space="preserve">Figura </w:t>
                      </w:r>
                      <w:r w:rsidRPr="007A345C">
                        <w:rPr>
                          <w:rFonts w:ascii="Arial" w:hAnsi="Arial" w:cs="Arial"/>
                          <w:i w:val="0"/>
                          <w:color w:val="auto"/>
                        </w:rPr>
                        <w:fldChar w:fldCharType="begin"/>
                      </w:r>
                      <w:r w:rsidRPr="007A345C">
                        <w:rPr>
                          <w:rFonts w:ascii="Arial" w:hAnsi="Arial" w:cs="Arial"/>
                          <w:i w:val="0"/>
                          <w:color w:val="auto"/>
                        </w:rPr>
                        <w:instrText xml:space="preserve"> SEQ Figura \* ARABIC </w:instrText>
                      </w:r>
                      <w:r w:rsidRPr="007A345C">
                        <w:rPr>
                          <w:rFonts w:ascii="Arial" w:hAnsi="Arial" w:cs="Arial"/>
                          <w:i w:val="0"/>
                          <w:color w:val="auto"/>
                        </w:rPr>
                        <w:fldChar w:fldCharType="separate"/>
                      </w:r>
                      <w:r>
                        <w:rPr>
                          <w:rFonts w:ascii="Arial" w:hAnsi="Arial" w:cs="Arial"/>
                          <w:i w:val="0"/>
                          <w:noProof/>
                          <w:color w:val="auto"/>
                        </w:rPr>
                        <w:t>21</w:t>
                      </w:r>
                      <w:r w:rsidRPr="007A345C">
                        <w:rPr>
                          <w:rFonts w:ascii="Arial" w:hAnsi="Arial" w:cs="Arial"/>
                          <w:i w:val="0"/>
                          <w:color w:val="auto"/>
                        </w:rPr>
                        <w:fldChar w:fldCharType="end"/>
                      </w:r>
                      <w:r w:rsidRPr="007A345C">
                        <w:rPr>
                          <w:rFonts w:ascii="Arial" w:hAnsi="Arial" w:cs="Arial"/>
                          <w:i w:val="0"/>
                          <w:color w:val="auto"/>
                        </w:rPr>
                        <w:t>. Mapa da área de abrangência da Floresta Estadual de Maués.</w:t>
                      </w:r>
                      <w:bookmarkEnd w:id="110"/>
                      <w:bookmarkEnd w:id="111"/>
                    </w:p>
                  </w:txbxContent>
                </v:textbox>
                <w10:wrap type="topAndBottom"/>
              </v:shape>
            </w:pict>
          </mc:Fallback>
        </mc:AlternateContent>
      </w:r>
      <w:r w:rsidR="00E75F7D" w:rsidRPr="000E7AC8">
        <w:rPr>
          <w:rFonts w:ascii="Arial" w:hAnsi="Arial" w:cs="Arial"/>
          <w:noProof/>
        </w:rPr>
        <w:drawing>
          <wp:anchor distT="0" distB="0" distL="114300" distR="114300" simplePos="0" relativeHeight="251692032" behindDoc="0" locked="0" layoutInCell="1" hidden="0" allowOverlap="1" wp14:anchorId="29770F53" wp14:editId="5793B965">
            <wp:simplePos x="0" y="0"/>
            <wp:positionH relativeFrom="column">
              <wp:posOffset>2</wp:posOffset>
            </wp:positionH>
            <wp:positionV relativeFrom="paragraph">
              <wp:posOffset>309245</wp:posOffset>
            </wp:positionV>
            <wp:extent cx="5939790" cy="4203065"/>
            <wp:effectExtent l="0" t="0" r="0" b="0"/>
            <wp:wrapTopAndBottom distT="0" distB="0"/>
            <wp:docPr id="160312998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l="6" r="6"/>
                    <a:stretch>
                      <a:fillRect/>
                    </a:stretch>
                  </pic:blipFill>
                  <pic:spPr>
                    <a:xfrm>
                      <a:off x="0" y="0"/>
                      <a:ext cx="5939790" cy="4203065"/>
                    </a:xfrm>
                    <a:prstGeom prst="rect">
                      <a:avLst/>
                    </a:prstGeom>
                    <a:ln/>
                  </pic:spPr>
                </pic:pic>
              </a:graphicData>
            </a:graphic>
          </wp:anchor>
        </w:drawing>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Na Floresta de Maués existem cerca de 420 famílias, distribuídas em 32 comunidades ribeirinhas, sendo 23 comunidades residentes e nove comunidades no entorno da Floresta, divididas em três bacias hidrográficas distintas: Rio Parauari, Rio Apocuitaua (Rio Pacoval, Rio Cicantá, Igarapé do Canela), Rio Paraconi (Paraná Urariá, Lago Grande do Elias) (Ceuc, 2014).</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A fitofisionomia da Floresta de Maués é caracterizada pela presença de florestas de terra firme, igapós, restingas e campinas. A característica favorável da Floresta Estadual de Maués é o uso múltiplo da floresta, pois possui produtos englobados nos parâmetros da sociobiodiversidade (açaí, babaçu, borracha e castanha da Amazônia).</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lastRenderedPageBreak/>
        <w:t xml:space="preserve">A região apresenta como atividades potenciais o manejo florestal empresarial e comunitário de produtos madeireiros e não madeireiros, turismo ecológico e a pesca esportiva. Destacam-se como atividades identificadas como conflitantes na região a exploração ilegal de madeira, extração de seixo e areia, caça e pesca ilegal. Dentre os Produtos Florestais Não Madeireiros (PFNM) destacam-se a coleta da castanha, cipó, frutas, leite, madeira, óleo, palha, palmeiras frutíferas, pau-rosa e resinas. </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Conforme o Plano de Gestão (2010), foram identificadas</w:t>
      </w:r>
      <w:r w:rsidR="009477FC">
        <w:rPr>
          <w:rFonts w:ascii="Arial" w:eastAsia="Arial" w:hAnsi="Arial" w:cs="Arial"/>
          <w:sz w:val="24"/>
          <w:szCs w:val="24"/>
        </w:rPr>
        <w:t>,</w:t>
      </w:r>
      <w:r w:rsidRPr="000E7AC8">
        <w:rPr>
          <w:rFonts w:ascii="Arial" w:eastAsia="Arial" w:hAnsi="Arial" w:cs="Arial"/>
          <w:sz w:val="24"/>
          <w:szCs w:val="24"/>
        </w:rPr>
        <w:t xml:space="preserve"> por m</w:t>
      </w:r>
      <w:r w:rsidR="009477FC">
        <w:rPr>
          <w:rFonts w:ascii="Arial" w:eastAsia="Arial" w:hAnsi="Arial" w:cs="Arial"/>
          <w:sz w:val="24"/>
          <w:szCs w:val="24"/>
        </w:rPr>
        <w:t xml:space="preserve">eio do mapeamento participativo, </w:t>
      </w:r>
      <w:r w:rsidRPr="000E7AC8">
        <w:rPr>
          <w:rFonts w:ascii="Arial" w:eastAsia="Arial" w:hAnsi="Arial" w:cs="Arial"/>
          <w:sz w:val="24"/>
          <w:szCs w:val="24"/>
        </w:rPr>
        <w:t>cerca de 79 regiões de exploração madeireira, com uma área total de 71.443,4 hectares. As principais madeiras extraídas são: itaúba (</w:t>
      </w:r>
      <w:r w:rsidRPr="000E7AC8">
        <w:rPr>
          <w:rFonts w:ascii="Arial" w:eastAsia="Arial" w:hAnsi="Arial" w:cs="Arial"/>
          <w:i/>
          <w:sz w:val="24"/>
          <w:szCs w:val="24"/>
        </w:rPr>
        <w:t>Mesilaurus itauba</w:t>
      </w:r>
      <w:r w:rsidRPr="000E7AC8">
        <w:rPr>
          <w:rFonts w:ascii="Arial" w:eastAsia="Arial" w:hAnsi="Arial" w:cs="Arial"/>
          <w:sz w:val="24"/>
          <w:szCs w:val="24"/>
        </w:rPr>
        <w:t>), pau d'arco (</w:t>
      </w:r>
      <w:r w:rsidRPr="000E7AC8">
        <w:rPr>
          <w:rFonts w:ascii="Arial" w:eastAsia="Arial" w:hAnsi="Arial" w:cs="Arial"/>
          <w:i/>
          <w:sz w:val="24"/>
          <w:szCs w:val="24"/>
        </w:rPr>
        <w:t>Tabebuia</w:t>
      </w:r>
      <w:r w:rsidRPr="000E7AC8">
        <w:rPr>
          <w:rFonts w:ascii="Arial" w:eastAsia="Arial" w:hAnsi="Arial" w:cs="Arial"/>
          <w:sz w:val="24"/>
          <w:szCs w:val="24"/>
        </w:rPr>
        <w:t xml:space="preserve"> spp) maçaranduba (</w:t>
      </w:r>
      <w:r w:rsidRPr="000E7AC8">
        <w:rPr>
          <w:rFonts w:ascii="Arial" w:eastAsia="Arial" w:hAnsi="Arial" w:cs="Arial"/>
          <w:i/>
          <w:sz w:val="24"/>
          <w:szCs w:val="24"/>
        </w:rPr>
        <w:t>Manilkara</w:t>
      </w:r>
      <w:r w:rsidRPr="000E7AC8">
        <w:rPr>
          <w:rFonts w:ascii="Arial" w:eastAsia="Arial" w:hAnsi="Arial" w:cs="Arial"/>
          <w:sz w:val="24"/>
          <w:szCs w:val="24"/>
        </w:rPr>
        <w:t xml:space="preserve"> spp), jatobá (</w:t>
      </w:r>
      <w:r w:rsidRPr="000E7AC8">
        <w:rPr>
          <w:rFonts w:ascii="Arial" w:eastAsia="Arial" w:hAnsi="Arial" w:cs="Arial"/>
          <w:i/>
          <w:sz w:val="24"/>
          <w:szCs w:val="24"/>
        </w:rPr>
        <w:t>Hymenaea courbaril</w:t>
      </w:r>
      <w:r w:rsidRPr="000E7AC8">
        <w:rPr>
          <w:rFonts w:ascii="Arial" w:eastAsia="Arial" w:hAnsi="Arial" w:cs="Arial"/>
          <w:sz w:val="24"/>
          <w:szCs w:val="24"/>
        </w:rPr>
        <w:t>), angelim (</w:t>
      </w:r>
      <w:r w:rsidRPr="000E7AC8">
        <w:rPr>
          <w:rFonts w:ascii="Arial" w:eastAsia="Arial" w:hAnsi="Arial" w:cs="Arial"/>
          <w:i/>
          <w:sz w:val="24"/>
          <w:szCs w:val="24"/>
        </w:rPr>
        <w:t>Dinizia excelsa</w:t>
      </w:r>
      <w:r w:rsidRPr="000E7AC8">
        <w:rPr>
          <w:rFonts w:ascii="Arial" w:eastAsia="Arial" w:hAnsi="Arial" w:cs="Arial"/>
          <w:sz w:val="24"/>
          <w:szCs w:val="24"/>
        </w:rPr>
        <w:t>), muiracatiara (</w:t>
      </w:r>
      <w:r w:rsidRPr="000E7AC8">
        <w:rPr>
          <w:rFonts w:ascii="Arial" w:eastAsia="Arial" w:hAnsi="Arial" w:cs="Arial"/>
          <w:i/>
          <w:sz w:val="24"/>
          <w:szCs w:val="24"/>
        </w:rPr>
        <w:t>Astronium lecointei</w:t>
      </w:r>
      <w:r w:rsidRPr="000E7AC8">
        <w:rPr>
          <w:rFonts w:ascii="Arial" w:eastAsia="Arial" w:hAnsi="Arial" w:cs="Arial"/>
          <w:sz w:val="24"/>
          <w:szCs w:val="24"/>
        </w:rPr>
        <w:t>)</w:t>
      </w:r>
      <w:r w:rsidR="009477FC">
        <w:rPr>
          <w:rFonts w:ascii="Arial" w:eastAsia="Arial" w:hAnsi="Arial" w:cs="Arial"/>
          <w:sz w:val="24"/>
          <w:szCs w:val="24"/>
        </w:rPr>
        <w:t xml:space="preserve"> e espécies de madeira branca</w:t>
      </w:r>
      <w:r w:rsidRPr="000E7AC8">
        <w:rPr>
          <w:rFonts w:ascii="Arial" w:eastAsia="Arial" w:hAnsi="Arial" w:cs="Arial"/>
          <w:sz w:val="24"/>
          <w:szCs w:val="24"/>
        </w:rPr>
        <w:t>. No geral, o uso da madeira se dá para fins domésticos.</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Considerando os aspectos supracitados, o zoneamento da UC contempla a subzona de uso madeireiro comercial, tendo como área total 120.693,60 ha com potencial para implementação de manejo florestal sustentável (Figura 22).</w:t>
      </w: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22F5E">
      <w:pPr>
        <w:pBdr>
          <w:top w:val="nil"/>
          <w:left w:val="nil"/>
          <w:bottom w:val="nil"/>
          <w:right w:val="nil"/>
          <w:between w:val="nil"/>
        </w:pBdr>
        <w:spacing w:after="200"/>
        <w:rPr>
          <w:rFonts w:ascii="Arial" w:eastAsia="Arial" w:hAnsi="Arial" w:cs="Arial"/>
          <w:color w:val="000000"/>
          <w:sz w:val="24"/>
          <w:szCs w:val="24"/>
        </w:rPr>
      </w:pPr>
      <w:r w:rsidRPr="000E7AC8">
        <w:rPr>
          <w:rFonts w:ascii="Arial" w:hAnsi="Arial" w:cs="Arial"/>
          <w:noProof/>
        </w:rPr>
        <w:lastRenderedPageBreak/>
        <w:drawing>
          <wp:anchor distT="0" distB="0" distL="114300" distR="114300" simplePos="0" relativeHeight="251666432" behindDoc="0" locked="0" layoutInCell="1" hidden="0" allowOverlap="1" wp14:anchorId="158B69B5" wp14:editId="206302F2">
            <wp:simplePos x="0" y="0"/>
            <wp:positionH relativeFrom="margin">
              <wp:align>left</wp:align>
            </wp:positionH>
            <wp:positionV relativeFrom="paragraph">
              <wp:posOffset>399415</wp:posOffset>
            </wp:positionV>
            <wp:extent cx="5634990" cy="4167505"/>
            <wp:effectExtent l="0" t="0" r="3810" b="4445"/>
            <wp:wrapTopAndBottom distT="0" distB="0"/>
            <wp:docPr id="160312997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5">
                      <a:extLst>
                        <a:ext uri="{28A0092B-C50C-407E-A947-70E740481C1C}">
                          <a14:useLocalDpi xmlns:a14="http://schemas.microsoft.com/office/drawing/2010/main" val="0"/>
                        </a:ext>
                      </a:extLst>
                    </a:blip>
                    <a:stretch>
                      <a:fillRect/>
                    </a:stretch>
                  </pic:blipFill>
                  <pic:spPr>
                    <a:xfrm>
                      <a:off x="0" y="0"/>
                      <a:ext cx="5634990" cy="4167505"/>
                    </a:xfrm>
                    <a:prstGeom prst="rect">
                      <a:avLst/>
                    </a:prstGeom>
                    <a:ln/>
                  </pic:spPr>
                </pic:pic>
              </a:graphicData>
            </a:graphic>
            <wp14:sizeRelH relativeFrom="margin">
              <wp14:pctWidth>0</wp14:pctWidth>
            </wp14:sizeRelH>
            <wp14:sizeRelV relativeFrom="margin">
              <wp14:pctHeight>0</wp14:pctHeight>
            </wp14:sizeRelV>
          </wp:anchor>
        </w:drawing>
      </w:r>
      <w:r w:rsidR="007A345C" w:rsidRPr="000E7AC8">
        <w:rPr>
          <w:rFonts w:ascii="Arial" w:hAnsi="Arial" w:cs="Arial"/>
          <w:noProof/>
        </w:rPr>
        <mc:AlternateContent>
          <mc:Choice Requires="wps">
            <w:drawing>
              <wp:anchor distT="0" distB="0" distL="114300" distR="114300" simplePos="0" relativeHeight="251694080" behindDoc="0" locked="0" layoutInCell="1" allowOverlap="1" wp14:anchorId="32C3238D" wp14:editId="03379FEF">
                <wp:simplePos x="0" y="0"/>
                <wp:positionH relativeFrom="column">
                  <wp:posOffset>495300</wp:posOffset>
                </wp:positionH>
                <wp:positionV relativeFrom="paragraph">
                  <wp:posOffset>0</wp:posOffset>
                </wp:positionV>
                <wp:extent cx="4888865" cy="457200"/>
                <wp:effectExtent l="0" t="0" r="6985" b="0"/>
                <wp:wrapTopAndBottom/>
                <wp:docPr id="10" name="Caixa de Texto 10"/>
                <wp:cNvGraphicFramePr/>
                <a:graphic xmlns:a="http://schemas.openxmlformats.org/drawingml/2006/main">
                  <a:graphicData uri="http://schemas.microsoft.com/office/word/2010/wordprocessingShape">
                    <wps:wsp>
                      <wps:cNvSpPr txBox="1"/>
                      <wps:spPr>
                        <a:xfrm>
                          <a:off x="0" y="0"/>
                          <a:ext cx="4888865" cy="457200"/>
                        </a:xfrm>
                        <a:prstGeom prst="rect">
                          <a:avLst/>
                        </a:prstGeom>
                        <a:solidFill>
                          <a:prstClr val="white"/>
                        </a:solidFill>
                        <a:ln>
                          <a:noFill/>
                        </a:ln>
                      </wps:spPr>
                      <wps:txbx>
                        <w:txbxContent>
                          <w:p w:rsidR="00CA56D3" w:rsidRPr="007A345C" w:rsidRDefault="00CA56D3" w:rsidP="007A345C">
                            <w:pPr>
                              <w:pStyle w:val="Legenda"/>
                              <w:rPr>
                                <w:rFonts w:ascii="Arial" w:hAnsi="Arial" w:cs="Arial"/>
                                <w:i w:val="0"/>
                                <w:noProof/>
                                <w:color w:val="auto"/>
                                <w:sz w:val="20"/>
                                <w:szCs w:val="20"/>
                              </w:rPr>
                            </w:pPr>
                            <w:bookmarkStart w:id="112" w:name="_Toc180054234"/>
                            <w:bookmarkStart w:id="113" w:name="_Toc180139801"/>
                            <w:r w:rsidRPr="007A345C">
                              <w:rPr>
                                <w:rFonts w:ascii="Arial" w:hAnsi="Arial" w:cs="Arial"/>
                                <w:i w:val="0"/>
                                <w:color w:val="auto"/>
                              </w:rPr>
                              <w:t xml:space="preserve">Figura </w:t>
                            </w:r>
                            <w:r w:rsidRPr="007A345C">
                              <w:rPr>
                                <w:rFonts w:ascii="Arial" w:hAnsi="Arial" w:cs="Arial"/>
                                <w:i w:val="0"/>
                                <w:color w:val="auto"/>
                              </w:rPr>
                              <w:fldChar w:fldCharType="begin"/>
                            </w:r>
                            <w:r w:rsidRPr="007A345C">
                              <w:rPr>
                                <w:rFonts w:ascii="Arial" w:hAnsi="Arial" w:cs="Arial"/>
                                <w:i w:val="0"/>
                                <w:color w:val="auto"/>
                              </w:rPr>
                              <w:instrText xml:space="preserve"> SEQ Figura \* ARABIC </w:instrText>
                            </w:r>
                            <w:r w:rsidRPr="007A345C">
                              <w:rPr>
                                <w:rFonts w:ascii="Arial" w:hAnsi="Arial" w:cs="Arial"/>
                                <w:i w:val="0"/>
                                <w:color w:val="auto"/>
                              </w:rPr>
                              <w:fldChar w:fldCharType="separate"/>
                            </w:r>
                            <w:r>
                              <w:rPr>
                                <w:rFonts w:ascii="Arial" w:hAnsi="Arial" w:cs="Arial"/>
                                <w:i w:val="0"/>
                                <w:noProof/>
                                <w:color w:val="auto"/>
                              </w:rPr>
                              <w:t>22</w:t>
                            </w:r>
                            <w:r w:rsidRPr="007A345C">
                              <w:rPr>
                                <w:rFonts w:ascii="Arial" w:hAnsi="Arial" w:cs="Arial"/>
                                <w:i w:val="0"/>
                                <w:color w:val="auto"/>
                              </w:rPr>
                              <w:fldChar w:fldCharType="end"/>
                            </w:r>
                            <w:r w:rsidRPr="007A345C">
                              <w:rPr>
                                <w:rFonts w:ascii="Arial" w:hAnsi="Arial" w:cs="Arial"/>
                                <w:i w:val="0"/>
                                <w:color w:val="auto"/>
                              </w:rPr>
                              <w:t>. Zoneamento da Floresta Estadual de Maués.</w:t>
                            </w:r>
                            <w:bookmarkEnd w:id="112"/>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2C3238D" id="Caixa de Texto 10" o:spid="_x0000_s1034" type="#_x0000_t202" style="position:absolute;margin-left:39pt;margin-top:0;width:384.95pt;height:36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" stroked="f">
                <v:textbox inset="0,0,0,0">
                  <w:txbxContent>
                    <w:p w:rsidR="00CA56D3" w:rsidRPr="007A345C" w:rsidRDefault="00CA56D3" w:rsidP="007A345C">
                      <w:pPr>
                        <w:pStyle w:val="Legenda"/>
                        <w:rPr>
                          <w:rFonts w:ascii="Arial" w:hAnsi="Arial" w:cs="Arial"/>
                          <w:i w:val="0"/>
                          <w:noProof/>
                          <w:color w:val="auto"/>
                          <w:sz w:val="20"/>
                          <w:szCs w:val="20"/>
                        </w:rPr>
                      </w:pPr>
                      <w:bookmarkStart w:id="114" w:name="_Toc180054234"/>
                      <w:bookmarkStart w:id="115" w:name="_Toc180139801"/>
                      <w:r w:rsidRPr="007A345C">
                        <w:rPr>
                          <w:rFonts w:ascii="Arial" w:hAnsi="Arial" w:cs="Arial"/>
                          <w:i w:val="0"/>
                          <w:color w:val="auto"/>
                        </w:rPr>
                        <w:t xml:space="preserve">Figura </w:t>
                      </w:r>
                      <w:r w:rsidRPr="007A345C">
                        <w:rPr>
                          <w:rFonts w:ascii="Arial" w:hAnsi="Arial" w:cs="Arial"/>
                          <w:i w:val="0"/>
                          <w:color w:val="auto"/>
                        </w:rPr>
                        <w:fldChar w:fldCharType="begin"/>
                      </w:r>
                      <w:r w:rsidRPr="007A345C">
                        <w:rPr>
                          <w:rFonts w:ascii="Arial" w:hAnsi="Arial" w:cs="Arial"/>
                          <w:i w:val="0"/>
                          <w:color w:val="auto"/>
                        </w:rPr>
                        <w:instrText xml:space="preserve"> SEQ Figura \* ARABIC </w:instrText>
                      </w:r>
                      <w:r w:rsidRPr="007A345C">
                        <w:rPr>
                          <w:rFonts w:ascii="Arial" w:hAnsi="Arial" w:cs="Arial"/>
                          <w:i w:val="0"/>
                          <w:color w:val="auto"/>
                        </w:rPr>
                        <w:fldChar w:fldCharType="separate"/>
                      </w:r>
                      <w:r>
                        <w:rPr>
                          <w:rFonts w:ascii="Arial" w:hAnsi="Arial" w:cs="Arial"/>
                          <w:i w:val="0"/>
                          <w:noProof/>
                          <w:color w:val="auto"/>
                        </w:rPr>
                        <w:t>22</w:t>
                      </w:r>
                      <w:r w:rsidRPr="007A345C">
                        <w:rPr>
                          <w:rFonts w:ascii="Arial" w:hAnsi="Arial" w:cs="Arial"/>
                          <w:i w:val="0"/>
                          <w:color w:val="auto"/>
                        </w:rPr>
                        <w:fldChar w:fldCharType="end"/>
                      </w:r>
                      <w:r w:rsidRPr="007A345C">
                        <w:rPr>
                          <w:rFonts w:ascii="Arial" w:hAnsi="Arial" w:cs="Arial"/>
                          <w:i w:val="0"/>
                          <w:color w:val="auto"/>
                        </w:rPr>
                        <w:t>. Zoneamento da Floresta Estadual de Maués.</w:t>
                      </w:r>
                      <w:bookmarkEnd w:id="114"/>
                      <w:bookmarkEnd w:id="115"/>
                    </w:p>
                  </w:txbxContent>
                </v:textbox>
                <w10:wrap type="topAndBottom"/>
              </v:shape>
            </w:pict>
          </mc:Fallback>
        </mc:AlternateConten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 Floresta Estadual de Maués </w:t>
      </w:r>
      <w:r w:rsidR="000D3E6B">
        <w:rPr>
          <w:rFonts w:ascii="Arial" w:eastAsia="Arial" w:hAnsi="Arial" w:cs="Arial"/>
          <w:sz w:val="24"/>
          <w:szCs w:val="24"/>
        </w:rPr>
        <w:t>deverá ser</w:t>
      </w:r>
      <w:r w:rsidRPr="000E7AC8">
        <w:rPr>
          <w:rFonts w:ascii="Arial" w:eastAsia="Arial" w:hAnsi="Arial" w:cs="Arial"/>
          <w:sz w:val="24"/>
          <w:szCs w:val="24"/>
        </w:rPr>
        <w:t xml:space="preserve"> a primeira Floresta Pública Estadual a ser concedida no Estado do Amazonas</w:t>
      </w:r>
      <w:r w:rsidR="000D3E6B">
        <w:rPr>
          <w:rFonts w:ascii="Arial" w:eastAsia="Arial" w:hAnsi="Arial" w:cs="Arial"/>
          <w:sz w:val="24"/>
          <w:szCs w:val="24"/>
        </w:rPr>
        <w:t>, devido aos avanços já efetivados para tal</w:t>
      </w:r>
      <w:r w:rsidRPr="000E7AC8">
        <w:rPr>
          <w:rFonts w:ascii="Arial" w:eastAsia="Arial" w:hAnsi="Arial" w:cs="Arial"/>
          <w:sz w:val="24"/>
          <w:szCs w:val="24"/>
        </w:rPr>
        <w:t xml:space="preserve">. Conforme a área destinada à concessão, foi definida uma Unidade de Manejo Florestal, sendo a UMF de 105.833,67 ha (Figura 16). </w:t>
      </w: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2B7C6D" w:rsidRPr="000E7AC8" w:rsidRDefault="002B7C6D">
      <w:pPr>
        <w:spacing w:line="360" w:lineRule="auto"/>
        <w:ind w:firstLine="709"/>
        <w:jc w:val="both"/>
        <w:rPr>
          <w:rFonts w:ascii="Arial" w:eastAsia="Arial" w:hAnsi="Arial" w:cs="Arial"/>
          <w:sz w:val="24"/>
          <w:szCs w:val="24"/>
        </w:rPr>
      </w:pPr>
    </w:p>
    <w:p w:rsidR="007A345C" w:rsidRPr="000E7AC8" w:rsidRDefault="007A345C" w:rsidP="007A345C">
      <w:pPr>
        <w:pStyle w:val="Legenda"/>
        <w:keepNext/>
        <w:jc w:val="both"/>
        <w:rPr>
          <w:rFonts w:ascii="Arial" w:hAnsi="Arial" w:cs="Arial"/>
          <w:i w:val="0"/>
          <w:color w:val="auto"/>
        </w:rPr>
      </w:pPr>
      <w:bookmarkStart w:id="116" w:name="_Toc180054235"/>
      <w:bookmarkStart w:id="117" w:name="_Toc180139802"/>
      <w:r w:rsidRPr="000E7AC8">
        <w:rPr>
          <w:rFonts w:ascii="Arial" w:hAnsi="Arial" w:cs="Arial"/>
          <w:i w:val="0"/>
          <w:color w:val="auto"/>
        </w:rPr>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23</w:t>
      </w:r>
      <w:r w:rsidRPr="000E7AC8">
        <w:rPr>
          <w:rFonts w:ascii="Arial" w:hAnsi="Arial" w:cs="Arial"/>
          <w:i w:val="0"/>
          <w:color w:val="auto"/>
        </w:rPr>
        <w:fldChar w:fldCharType="end"/>
      </w:r>
      <w:r w:rsidRPr="000E7AC8">
        <w:rPr>
          <w:rFonts w:ascii="Arial" w:hAnsi="Arial" w:cs="Arial"/>
          <w:i w:val="0"/>
          <w:color w:val="auto"/>
        </w:rPr>
        <w:t>. Área da Unidade de Manejo Florestal na subzona de uso madeireiro comercial da Floresta Estadual de Maués.</w:t>
      </w:r>
      <w:bookmarkEnd w:id="116"/>
      <w:bookmarkEnd w:id="117"/>
    </w:p>
    <w:p w:rsidR="002B7C6D" w:rsidRPr="000E7AC8" w:rsidRDefault="00E75F7D">
      <w:pPr>
        <w:pBdr>
          <w:top w:val="nil"/>
          <w:left w:val="nil"/>
          <w:bottom w:val="nil"/>
          <w:right w:val="nil"/>
          <w:between w:val="nil"/>
        </w:pBdr>
        <w:spacing w:after="200"/>
        <w:jc w:val="both"/>
        <w:rPr>
          <w:rFonts w:ascii="Arial" w:eastAsia="Arial" w:hAnsi="Arial" w:cs="Arial"/>
          <w:color w:val="000000"/>
        </w:rPr>
      </w:pPr>
      <w:r w:rsidRPr="000E7AC8">
        <w:rPr>
          <w:rFonts w:ascii="Arial" w:eastAsia="Arial" w:hAnsi="Arial" w:cs="Arial"/>
          <w:noProof/>
          <w:color w:val="000000"/>
        </w:rPr>
        <w:drawing>
          <wp:inline distT="0" distB="0" distL="0" distR="0" wp14:anchorId="4F63E8A5" wp14:editId="46E0D5A3">
            <wp:extent cx="5939790" cy="4202401"/>
            <wp:effectExtent l="0" t="0" r="0" b="0"/>
            <wp:docPr id="160312999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l="33" r="32"/>
                    <a:stretch>
                      <a:fillRect/>
                    </a:stretch>
                  </pic:blipFill>
                  <pic:spPr>
                    <a:xfrm>
                      <a:off x="0" y="0"/>
                      <a:ext cx="5939790" cy="4202401"/>
                    </a:xfrm>
                    <a:prstGeom prst="rect">
                      <a:avLst/>
                    </a:prstGeom>
                    <a:ln/>
                  </pic:spPr>
                </pic:pic>
              </a:graphicData>
            </a:graphic>
          </wp:inline>
        </w:drawing>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Em 2020 e 2021 foram realizados os estudos de precificação e logística e em 2023 foram realizados estudos de inventário florestal amostral na Floresta de Maués, </w:t>
      </w:r>
      <w:r w:rsidR="000D3E6B">
        <w:rPr>
          <w:rFonts w:ascii="Arial" w:eastAsia="Arial" w:hAnsi="Arial" w:cs="Arial"/>
          <w:sz w:val="24"/>
          <w:szCs w:val="24"/>
        </w:rPr>
        <w:t>que</w:t>
      </w:r>
      <w:r w:rsidRPr="000E7AC8">
        <w:rPr>
          <w:rFonts w:ascii="Arial" w:eastAsia="Arial" w:hAnsi="Arial" w:cs="Arial"/>
          <w:sz w:val="24"/>
          <w:szCs w:val="24"/>
        </w:rPr>
        <w:t xml:space="preserve"> subsidiarão a publicação do Edital de Licitação para Concessão Florestal.</w:t>
      </w:r>
    </w:p>
    <w:p w:rsidR="002B7C6D" w:rsidRPr="000E7AC8" w:rsidRDefault="00A257B5">
      <w:pPr>
        <w:spacing w:line="360" w:lineRule="auto"/>
        <w:ind w:firstLine="709"/>
        <w:jc w:val="both"/>
        <w:rPr>
          <w:rFonts w:ascii="Arial" w:eastAsia="Arial" w:hAnsi="Arial" w:cs="Arial"/>
          <w:sz w:val="24"/>
          <w:szCs w:val="24"/>
        </w:rPr>
      </w:pPr>
      <w:r w:rsidRPr="000E7AC8">
        <w:rPr>
          <w:rFonts w:ascii="Arial" w:eastAsia="Arial" w:hAnsi="Arial" w:cs="Arial"/>
          <w:sz w:val="24"/>
          <w:szCs w:val="24"/>
        </w:rPr>
        <w:t>S</w:t>
      </w:r>
      <w:r w:rsidR="00E75F7D" w:rsidRPr="000E7AC8">
        <w:rPr>
          <w:rFonts w:ascii="Arial" w:eastAsia="Arial" w:hAnsi="Arial" w:cs="Arial"/>
          <w:sz w:val="24"/>
          <w:szCs w:val="24"/>
        </w:rPr>
        <w:t xml:space="preserve">erão realizadas audiências públicas no município de Maués, </w:t>
      </w:r>
      <w:r w:rsidRPr="000E7AC8">
        <w:rPr>
          <w:rFonts w:ascii="Arial" w:eastAsia="Arial" w:hAnsi="Arial" w:cs="Arial"/>
          <w:sz w:val="24"/>
          <w:szCs w:val="24"/>
        </w:rPr>
        <w:t>n</w:t>
      </w:r>
      <w:r w:rsidR="00E75F7D" w:rsidRPr="000E7AC8">
        <w:rPr>
          <w:rFonts w:ascii="Arial" w:eastAsia="Arial" w:hAnsi="Arial" w:cs="Arial"/>
          <w:sz w:val="24"/>
          <w:szCs w:val="24"/>
        </w:rPr>
        <w:t>a</w:t>
      </w:r>
      <w:r w:rsidRPr="000E7AC8">
        <w:rPr>
          <w:rFonts w:ascii="Arial" w:eastAsia="Arial" w:hAnsi="Arial" w:cs="Arial"/>
          <w:sz w:val="24"/>
          <w:szCs w:val="24"/>
        </w:rPr>
        <w:t>s quais dev</w:t>
      </w:r>
      <w:r w:rsidR="00E75F7D" w:rsidRPr="000E7AC8">
        <w:rPr>
          <w:rFonts w:ascii="Arial" w:eastAsia="Arial" w:hAnsi="Arial" w:cs="Arial"/>
          <w:sz w:val="24"/>
          <w:szCs w:val="24"/>
        </w:rPr>
        <w:t xml:space="preserve">erão </w:t>
      </w:r>
      <w:r w:rsidRPr="000E7AC8">
        <w:rPr>
          <w:rFonts w:ascii="Arial" w:eastAsia="Arial" w:hAnsi="Arial" w:cs="Arial"/>
          <w:sz w:val="24"/>
          <w:szCs w:val="24"/>
        </w:rPr>
        <w:t xml:space="preserve">ser </w:t>
      </w:r>
      <w:r w:rsidR="00E75F7D" w:rsidRPr="000E7AC8">
        <w:rPr>
          <w:rFonts w:ascii="Arial" w:eastAsia="Arial" w:hAnsi="Arial" w:cs="Arial"/>
          <w:sz w:val="24"/>
          <w:szCs w:val="24"/>
        </w:rPr>
        <w:t xml:space="preserve">apresentadas ao público local informações acerca da área da Unidade de Manejo Florestal, os anexos que servirão como base das fases do processo de licitação da </w:t>
      </w:r>
      <w:r w:rsidR="00E75F7D" w:rsidRPr="000E7AC8">
        <w:rPr>
          <w:rFonts w:ascii="Arial" w:eastAsia="Arial" w:hAnsi="Arial" w:cs="Arial"/>
          <w:sz w:val="24"/>
          <w:szCs w:val="24"/>
        </w:rPr>
        <w:lastRenderedPageBreak/>
        <w:t>concessão, além dos resultados dos estudos de infraestrutura, logística, e inventário florestal amostral.</w:t>
      </w:r>
    </w:p>
    <w:p w:rsidR="00A865FC" w:rsidRPr="000E7AC8" w:rsidRDefault="00A865FC">
      <w:pPr>
        <w:spacing w:line="360" w:lineRule="auto"/>
        <w:ind w:firstLine="709"/>
        <w:jc w:val="both"/>
        <w:rPr>
          <w:rFonts w:ascii="Arial" w:eastAsia="Arial" w:hAnsi="Arial" w:cs="Arial"/>
          <w:b/>
          <w:color w:val="38761D"/>
          <w:sz w:val="28"/>
          <w:szCs w:val="28"/>
        </w:rPr>
      </w:pPr>
    </w:p>
    <w:p w:rsidR="002B7C6D" w:rsidRPr="000E7AC8" w:rsidRDefault="00E75F7D">
      <w:pPr>
        <w:pStyle w:val="Ttulo2"/>
        <w:numPr>
          <w:ilvl w:val="1"/>
          <w:numId w:val="5"/>
        </w:numPr>
        <w:ind w:left="0" w:firstLine="851"/>
        <w:rPr>
          <w:rFonts w:ascii="Arial" w:eastAsia="Arial" w:hAnsi="Arial" w:cs="Arial"/>
          <w:b/>
          <w:color w:val="38761D"/>
          <w:sz w:val="28"/>
          <w:szCs w:val="28"/>
        </w:rPr>
      </w:pPr>
      <w:bookmarkStart w:id="118" w:name="_Toc180138752"/>
      <w:r w:rsidRPr="000E7AC8">
        <w:rPr>
          <w:rFonts w:ascii="Arial" w:eastAsia="Arial" w:hAnsi="Arial" w:cs="Arial"/>
          <w:b/>
          <w:color w:val="38761D"/>
          <w:sz w:val="28"/>
          <w:szCs w:val="28"/>
        </w:rPr>
        <w:t>FLORESTA ESTADUAL DO RIO URUBU</w:t>
      </w:r>
      <w:bookmarkEnd w:id="118"/>
    </w:p>
    <w:p w:rsidR="002B7C6D" w:rsidRPr="000E7AC8" w:rsidRDefault="002B7C6D">
      <w:pPr>
        <w:rPr>
          <w:rFonts w:ascii="Arial" w:eastAsia="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A Floresta Estadual do Rio Urubu, localizada no município de Rio Preta da Eva, possui área total de 27.342,00 ha. A Unidade de Conservação Estadual foi criada pelo Decreto nº 23.993, de 22 de dezembro de 2003 (Figura 24).</w:t>
      </w:r>
    </w:p>
    <w:p w:rsidR="002B7C6D" w:rsidRPr="000E7AC8" w:rsidRDefault="007A345C">
      <w:pPr>
        <w:spacing w:line="360" w:lineRule="auto"/>
        <w:ind w:firstLine="709"/>
        <w:jc w:val="both"/>
        <w:rPr>
          <w:rFonts w:ascii="Arial" w:eastAsia="Arial" w:hAnsi="Arial" w:cs="Arial"/>
          <w:sz w:val="24"/>
          <w:szCs w:val="24"/>
        </w:rPr>
      </w:pPr>
      <w:r w:rsidRPr="000E7AC8">
        <w:rPr>
          <w:rFonts w:ascii="Arial" w:hAnsi="Arial" w:cs="Arial"/>
          <w:noProof/>
        </w:rPr>
        <mc:AlternateContent>
          <mc:Choice Requires="wps">
            <w:drawing>
              <wp:anchor distT="0" distB="0" distL="114300" distR="114300" simplePos="0" relativeHeight="251696128" behindDoc="0" locked="0" layoutInCell="1" allowOverlap="1" wp14:anchorId="4E561A0B" wp14:editId="5831FB5A">
                <wp:simplePos x="0" y="0"/>
                <wp:positionH relativeFrom="column">
                  <wp:posOffset>14605</wp:posOffset>
                </wp:positionH>
                <wp:positionV relativeFrom="paragraph">
                  <wp:posOffset>1341755</wp:posOffset>
                </wp:positionV>
                <wp:extent cx="5939155" cy="222885"/>
                <wp:effectExtent l="0" t="0" r="4445" b="5715"/>
                <wp:wrapTopAndBottom/>
                <wp:docPr id="11" name="Caixa de Texto 11"/>
                <wp:cNvGraphicFramePr/>
                <a:graphic xmlns:a="http://schemas.openxmlformats.org/drawingml/2006/main">
                  <a:graphicData uri="http://schemas.microsoft.com/office/word/2010/wordprocessingShape">
                    <wps:wsp>
                      <wps:cNvSpPr txBox="1"/>
                      <wps:spPr>
                        <a:xfrm>
                          <a:off x="0" y="0"/>
                          <a:ext cx="5939155" cy="222885"/>
                        </a:xfrm>
                        <a:prstGeom prst="rect">
                          <a:avLst/>
                        </a:prstGeom>
                        <a:solidFill>
                          <a:prstClr val="white"/>
                        </a:solidFill>
                        <a:ln>
                          <a:noFill/>
                        </a:ln>
                      </wps:spPr>
                      <wps:txbx>
                        <w:txbxContent>
                          <w:p w:rsidR="00CA56D3" w:rsidRPr="007A345C" w:rsidRDefault="00CA56D3" w:rsidP="007A345C">
                            <w:pPr>
                              <w:pStyle w:val="Legenda"/>
                              <w:rPr>
                                <w:rFonts w:ascii="Arial" w:hAnsi="Arial" w:cs="Arial"/>
                                <w:i w:val="0"/>
                                <w:noProof/>
                                <w:color w:val="auto"/>
                                <w:sz w:val="20"/>
                                <w:szCs w:val="20"/>
                              </w:rPr>
                            </w:pPr>
                            <w:bookmarkStart w:id="119" w:name="_Toc180054236"/>
                            <w:bookmarkStart w:id="120" w:name="_Toc180139803"/>
                            <w:r w:rsidRPr="007A345C">
                              <w:rPr>
                                <w:rFonts w:ascii="Arial" w:hAnsi="Arial" w:cs="Arial"/>
                                <w:i w:val="0"/>
                                <w:color w:val="auto"/>
                              </w:rPr>
                              <w:t xml:space="preserve">Figura </w:t>
                            </w:r>
                            <w:r w:rsidRPr="007A345C">
                              <w:rPr>
                                <w:rFonts w:ascii="Arial" w:hAnsi="Arial" w:cs="Arial"/>
                                <w:i w:val="0"/>
                                <w:color w:val="auto"/>
                              </w:rPr>
                              <w:fldChar w:fldCharType="begin"/>
                            </w:r>
                            <w:r w:rsidRPr="007A345C">
                              <w:rPr>
                                <w:rFonts w:ascii="Arial" w:hAnsi="Arial" w:cs="Arial"/>
                                <w:i w:val="0"/>
                                <w:color w:val="auto"/>
                              </w:rPr>
                              <w:instrText xml:space="preserve"> SEQ Figura \* ARABIC </w:instrText>
                            </w:r>
                            <w:r w:rsidRPr="007A345C">
                              <w:rPr>
                                <w:rFonts w:ascii="Arial" w:hAnsi="Arial" w:cs="Arial"/>
                                <w:i w:val="0"/>
                                <w:color w:val="auto"/>
                              </w:rPr>
                              <w:fldChar w:fldCharType="separate"/>
                            </w:r>
                            <w:r>
                              <w:rPr>
                                <w:rFonts w:ascii="Arial" w:hAnsi="Arial" w:cs="Arial"/>
                                <w:i w:val="0"/>
                                <w:noProof/>
                                <w:color w:val="auto"/>
                              </w:rPr>
                              <w:t>24</w:t>
                            </w:r>
                            <w:r w:rsidRPr="007A345C">
                              <w:rPr>
                                <w:rFonts w:ascii="Arial" w:hAnsi="Arial" w:cs="Arial"/>
                                <w:i w:val="0"/>
                                <w:color w:val="auto"/>
                              </w:rPr>
                              <w:fldChar w:fldCharType="end"/>
                            </w:r>
                            <w:r w:rsidRPr="007A345C">
                              <w:rPr>
                                <w:rFonts w:ascii="Arial" w:hAnsi="Arial" w:cs="Arial"/>
                                <w:i w:val="0"/>
                                <w:color w:val="auto"/>
                              </w:rPr>
                              <w:t>. Mapa de abrangência da Floresta Estadual do Rio Urubu.</w:t>
                            </w:r>
                            <w:bookmarkEnd w:id="119"/>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561A0B" id="Caixa de Texto 11" o:spid="_x0000_s1035" type="#_x0000_t202" style="position:absolute;left:0;text-align:left;margin-left:1.15pt;margin-top:105.65pt;width:467.65pt;height:17.5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" stroked="f">
                <v:textbox inset="0,0,0,0">
                  <w:txbxContent>
                    <w:p w:rsidR="00CA56D3" w:rsidRPr="007A345C" w:rsidRDefault="00CA56D3" w:rsidP="007A345C">
                      <w:pPr>
                        <w:pStyle w:val="Legenda"/>
                        <w:rPr>
                          <w:rFonts w:ascii="Arial" w:hAnsi="Arial" w:cs="Arial"/>
                          <w:i w:val="0"/>
                          <w:noProof/>
                          <w:color w:val="auto"/>
                          <w:sz w:val="20"/>
                          <w:szCs w:val="20"/>
                        </w:rPr>
                      </w:pPr>
                      <w:bookmarkStart w:id="121" w:name="_Toc180054236"/>
                      <w:bookmarkStart w:id="122" w:name="_Toc180139803"/>
                      <w:r w:rsidRPr="007A345C">
                        <w:rPr>
                          <w:rFonts w:ascii="Arial" w:hAnsi="Arial" w:cs="Arial"/>
                          <w:i w:val="0"/>
                          <w:color w:val="auto"/>
                        </w:rPr>
                        <w:t xml:space="preserve">Figura </w:t>
                      </w:r>
                      <w:r w:rsidRPr="007A345C">
                        <w:rPr>
                          <w:rFonts w:ascii="Arial" w:hAnsi="Arial" w:cs="Arial"/>
                          <w:i w:val="0"/>
                          <w:color w:val="auto"/>
                        </w:rPr>
                        <w:fldChar w:fldCharType="begin"/>
                      </w:r>
                      <w:r w:rsidRPr="007A345C">
                        <w:rPr>
                          <w:rFonts w:ascii="Arial" w:hAnsi="Arial" w:cs="Arial"/>
                          <w:i w:val="0"/>
                          <w:color w:val="auto"/>
                        </w:rPr>
                        <w:instrText xml:space="preserve"> SEQ Figura \* ARABIC </w:instrText>
                      </w:r>
                      <w:r w:rsidRPr="007A345C">
                        <w:rPr>
                          <w:rFonts w:ascii="Arial" w:hAnsi="Arial" w:cs="Arial"/>
                          <w:i w:val="0"/>
                          <w:color w:val="auto"/>
                        </w:rPr>
                        <w:fldChar w:fldCharType="separate"/>
                      </w:r>
                      <w:r>
                        <w:rPr>
                          <w:rFonts w:ascii="Arial" w:hAnsi="Arial" w:cs="Arial"/>
                          <w:i w:val="0"/>
                          <w:noProof/>
                          <w:color w:val="auto"/>
                        </w:rPr>
                        <w:t>24</w:t>
                      </w:r>
                      <w:r w:rsidRPr="007A345C">
                        <w:rPr>
                          <w:rFonts w:ascii="Arial" w:hAnsi="Arial" w:cs="Arial"/>
                          <w:i w:val="0"/>
                          <w:color w:val="auto"/>
                        </w:rPr>
                        <w:fldChar w:fldCharType="end"/>
                      </w:r>
                      <w:r w:rsidRPr="007A345C">
                        <w:rPr>
                          <w:rFonts w:ascii="Arial" w:hAnsi="Arial" w:cs="Arial"/>
                          <w:i w:val="0"/>
                          <w:color w:val="auto"/>
                        </w:rPr>
                        <w:t>. Mapa de abrangência da Floresta Estadual do Rio Urubu.</w:t>
                      </w:r>
                      <w:bookmarkEnd w:id="121"/>
                      <w:bookmarkEnd w:id="122"/>
                    </w:p>
                  </w:txbxContent>
                </v:textbox>
                <w10:wrap type="topAndBottom"/>
              </v:shape>
            </w:pict>
          </mc:Fallback>
        </mc:AlternateContent>
      </w:r>
      <w:r w:rsidR="00E75F7D" w:rsidRPr="000E7AC8">
        <w:rPr>
          <w:rFonts w:ascii="Arial" w:eastAsia="Arial" w:hAnsi="Arial" w:cs="Arial"/>
          <w:sz w:val="24"/>
          <w:szCs w:val="24"/>
        </w:rPr>
        <w:t>A Floresta Estadual do Rio Urubu, gerida pelo Conselho Gestor Consultivo do Departamento de Mudanças Climáticas e Gestão de Unidades de Conservação (Demuc) da Sema, até o presente momento não dispõe de Plano de Gestão e tampouco Conselho Gestor. Dentro da UC não há formação de comunidades tradicionais, mas assentamento de famílias dispersas nas áreas da Unidade.</w:t>
      </w:r>
    </w:p>
    <w:p w:rsidR="002B7C6D" w:rsidRPr="000E7AC8" w:rsidRDefault="000E7AC8">
      <w:pPr>
        <w:pBdr>
          <w:top w:val="nil"/>
          <w:left w:val="nil"/>
          <w:bottom w:val="nil"/>
          <w:right w:val="nil"/>
          <w:between w:val="nil"/>
        </w:pBdr>
        <w:spacing w:after="200"/>
        <w:rPr>
          <w:rFonts w:ascii="Arial" w:eastAsia="Arial" w:hAnsi="Arial" w:cs="Arial"/>
          <w:i/>
          <w:color w:val="000000"/>
          <w:sz w:val="18"/>
          <w:szCs w:val="18"/>
        </w:rPr>
      </w:pPr>
      <w:r w:rsidRPr="000E7AC8">
        <w:rPr>
          <w:rFonts w:ascii="Arial" w:hAnsi="Arial" w:cs="Arial"/>
          <w:noProof/>
        </w:rPr>
        <w:lastRenderedPageBreak/>
        <w:drawing>
          <wp:inline distT="0" distB="0" distL="0" distR="0">
            <wp:extent cx="5939480" cy="4202965"/>
            <wp:effectExtent l="0" t="0" r="4445" b="7620"/>
            <wp:docPr id="160312998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cstate="print">
                      <a:extLst>
                        <a:ext uri="{28A0092B-C50C-407E-A947-70E740481C1C}">
                          <a14:useLocalDpi xmlns:a14="http://schemas.microsoft.com/office/drawing/2010/main" val="0"/>
                        </a:ext>
                      </a:extLst>
                    </a:blip>
                    <a:srcRect l="7" r="6"/>
                    <a:stretch>
                      <a:fillRect/>
                    </a:stretch>
                  </pic:blipFill>
                  <pic:spPr>
                    <a:xfrm>
                      <a:off x="0" y="0"/>
                      <a:ext cx="5939480" cy="4202965"/>
                    </a:xfrm>
                    <a:prstGeom prst="rect">
                      <a:avLst/>
                    </a:prstGeom>
                    <a:ln/>
                  </pic:spPr>
                </pic:pic>
              </a:graphicData>
            </a:graphic>
          </wp:inline>
        </w:drawing>
      </w:r>
    </w:p>
    <w:p w:rsidR="002B7C6D" w:rsidRPr="000E7AC8" w:rsidRDefault="002B7C6D">
      <w:pPr>
        <w:spacing w:line="360" w:lineRule="auto"/>
        <w:jc w:val="both"/>
        <w:rPr>
          <w:rFonts w:ascii="Arial" w:eastAsia="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A Floresta Estadual do Rio Urubu apresenta uma série de atributos especiais, possíveis serviços florestais disponíveis, como extensas áreas de buritizais nas planícies de alagação do rio Urubu, corredeiras e cachoeiras de grande beleza cênica.</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 segunda maior diversidade de espécies florestais, </w:t>
      </w:r>
      <w:r w:rsidR="000D3E6B">
        <w:rPr>
          <w:rFonts w:ascii="Arial" w:eastAsia="Arial" w:hAnsi="Arial" w:cs="Arial"/>
          <w:sz w:val="24"/>
          <w:szCs w:val="24"/>
        </w:rPr>
        <w:t>em Florestas Tropicais do mundo</w:t>
      </w:r>
      <w:r w:rsidRPr="000E7AC8">
        <w:rPr>
          <w:rFonts w:ascii="Arial" w:eastAsia="Arial" w:hAnsi="Arial" w:cs="Arial"/>
          <w:sz w:val="24"/>
          <w:szCs w:val="24"/>
        </w:rPr>
        <w:t xml:space="preserve"> foi registrada nas proximidades da respectiva Floresta Estadual (Sema, 2020). Aproximadamente metade da Floresta Estadual do Rio Urubu é composta por terrenos inclinados cortados por igarapés. Seus solos são compostos principalmente por latossolo amarelo distrófico (LAd) e latossolo amarelo ácrico (LAw) (IBGE, 2015).</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 faixa das margens do Rio Urubu destaca-se pela diversidade de paisagens, beleza cênica e atrativos naturais. Entre suas atividades potenciais estão o Manejo </w:t>
      </w:r>
      <w:r w:rsidRPr="000E7AC8">
        <w:rPr>
          <w:rFonts w:ascii="Arial" w:eastAsia="Arial" w:hAnsi="Arial" w:cs="Arial"/>
          <w:sz w:val="24"/>
          <w:szCs w:val="24"/>
        </w:rPr>
        <w:lastRenderedPageBreak/>
        <w:t>Florestal Madeireiro em escala empresarial, e o manejo florestal de uso múltiplo, incluindo os produtos não madeireiros (Sema 2020).</w:t>
      </w:r>
    </w:p>
    <w:p w:rsidR="00222F5E" w:rsidRPr="000E7AC8" w:rsidRDefault="00222F5E">
      <w:pPr>
        <w:spacing w:line="360" w:lineRule="auto"/>
        <w:ind w:firstLine="709"/>
        <w:jc w:val="both"/>
        <w:rPr>
          <w:rFonts w:ascii="Arial" w:eastAsia="Arial" w:hAnsi="Arial" w:cs="Arial"/>
          <w:sz w:val="24"/>
          <w:szCs w:val="24"/>
        </w:rPr>
      </w:pPr>
    </w:p>
    <w:p w:rsidR="002B7C6D" w:rsidRPr="000E7AC8" w:rsidRDefault="00E75F7D">
      <w:pPr>
        <w:pStyle w:val="Ttulo1"/>
        <w:ind w:firstLine="709"/>
        <w:rPr>
          <w:rFonts w:ascii="Arial" w:eastAsia="Arial" w:hAnsi="Arial" w:cs="Arial"/>
          <w:b/>
          <w:color w:val="38761D"/>
          <w:sz w:val="28"/>
          <w:szCs w:val="28"/>
        </w:rPr>
      </w:pPr>
      <w:bookmarkStart w:id="123" w:name="_Toc180138753"/>
      <w:r w:rsidRPr="000E7AC8">
        <w:rPr>
          <w:rFonts w:ascii="Arial" w:eastAsia="Arial" w:hAnsi="Arial" w:cs="Arial"/>
          <w:b/>
          <w:color w:val="38761D"/>
          <w:sz w:val="28"/>
          <w:szCs w:val="28"/>
        </w:rPr>
        <w:t>6. GLEBAS DESTINADAS A CONCESSÃO FLORESTAL</w:t>
      </w:r>
      <w:bookmarkEnd w:id="123"/>
    </w:p>
    <w:p w:rsidR="002B7C6D" w:rsidRPr="000E7AC8" w:rsidRDefault="002B7C6D">
      <w:pPr>
        <w:rPr>
          <w:rFonts w:ascii="Arial" w:hAnsi="Arial" w:cs="Arial"/>
        </w:rPr>
      </w:pP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t xml:space="preserve">A SEMA </w:t>
      </w:r>
      <w:r w:rsidR="003D3CF3" w:rsidRPr="000E7AC8">
        <w:rPr>
          <w:rFonts w:ascii="Arial" w:eastAsia="Arial" w:hAnsi="Arial" w:cs="Arial"/>
          <w:sz w:val="24"/>
          <w:szCs w:val="24"/>
        </w:rPr>
        <w:t xml:space="preserve">realizou a contratação de consultoria para a realização de estudo fundiário, que </w:t>
      </w:r>
      <w:r w:rsidRPr="000E7AC8">
        <w:rPr>
          <w:rFonts w:ascii="Arial" w:eastAsia="Arial" w:hAnsi="Arial" w:cs="Arial"/>
          <w:sz w:val="24"/>
          <w:szCs w:val="24"/>
        </w:rPr>
        <w:t xml:space="preserve">desenvolveu estudos para analisar a destinação de 5 Glebas estaduais para produção sustentável, Gleba Agronomia, Gleba Bom futuro, Gleba Céu Aberto, Gleba Mundo Novo e Gleba São Pedro, dessas cinco Glebas, </w:t>
      </w:r>
      <w:r w:rsidR="003D3CF3" w:rsidRPr="000E7AC8">
        <w:rPr>
          <w:rFonts w:ascii="Arial" w:eastAsia="Arial" w:hAnsi="Arial" w:cs="Arial"/>
          <w:sz w:val="24"/>
          <w:szCs w:val="24"/>
        </w:rPr>
        <w:t>a Gleba Mundo novo se mostrou apta a continuidade dos estudos prévios</w:t>
      </w:r>
      <w:r w:rsidRPr="000E7AC8">
        <w:rPr>
          <w:rFonts w:ascii="Arial" w:eastAsia="Arial" w:hAnsi="Arial" w:cs="Arial"/>
          <w:sz w:val="24"/>
          <w:szCs w:val="24"/>
        </w:rPr>
        <w:t xml:space="preserve"> para concessão florestal</w:t>
      </w:r>
      <w:r w:rsidR="003D3CF3" w:rsidRPr="000E7AC8">
        <w:rPr>
          <w:rFonts w:ascii="Arial" w:eastAsia="Arial" w:hAnsi="Arial" w:cs="Arial"/>
          <w:sz w:val="24"/>
          <w:szCs w:val="24"/>
        </w:rPr>
        <w:t>.</w:t>
      </w:r>
      <w:r w:rsidRPr="000E7AC8">
        <w:rPr>
          <w:rFonts w:ascii="Arial" w:eastAsia="Arial" w:hAnsi="Arial" w:cs="Arial"/>
          <w:sz w:val="24"/>
          <w:szCs w:val="24"/>
        </w:rPr>
        <w:t xml:space="preserve"> (Figura 25).</w:t>
      </w:r>
    </w:p>
    <w:p w:rsidR="003D3CF3" w:rsidRPr="000E7AC8" w:rsidRDefault="003D3CF3">
      <w:pPr>
        <w:spacing w:line="360" w:lineRule="auto"/>
        <w:ind w:firstLine="720"/>
        <w:jc w:val="both"/>
        <w:rPr>
          <w:rFonts w:ascii="Arial" w:eastAsia="Arial" w:hAnsi="Arial" w:cs="Arial"/>
          <w:sz w:val="24"/>
          <w:szCs w:val="24"/>
        </w:rPr>
      </w:pPr>
    </w:p>
    <w:p w:rsidR="002B7C6D" w:rsidRPr="000E7AC8" w:rsidRDefault="002B7C6D">
      <w:pPr>
        <w:spacing w:after="200"/>
        <w:jc w:val="center"/>
        <w:rPr>
          <w:rFonts w:ascii="Arial" w:eastAsia="Arial" w:hAnsi="Arial" w:cs="Arial"/>
        </w:rPr>
      </w:pPr>
    </w:p>
    <w:p w:rsidR="002B7C6D" w:rsidRPr="000E7AC8" w:rsidRDefault="002B7C6D">
      <w:pPr>
        <w:spacing w:after="200"/>
        <w:jc w:val="center"/>
        <w:rPr>
          <w:rFonts w:ascii="Arial" w:eastAsia="Arial" w:hAnsi="Arial" w:cs="Arial"/>
        </w:rPr>
      </w:pPr>
    </w:p>
    <w:p w:rsidR="002B7C6D" w:rsidRPr="000E7AC8" w:rsidRDefault="002B7C6D">
      <w:pPr>
        <w:spacing w:after="200"/>
        <w:jc w:val="center"/>
        <w:rPr>
          <w:rFonts w:ascii="Arial" w:eastAsia="Arial" w:hAnsi="Arial" w:cs="Arial"/>
        </w:rPr>
      </w:pPr>
    </w:p>
    <w:p w:rsidR="002B7C6D" w:rsidRPr="000E7AC8" w:rsidRDefault="002B7C6D">
      <w:pPr>
        <w:spacing w:after="200"/>
        <w:jc w:val="center"/>
        <w:rPr>
          <w:rFonts w:ascii="Arial" w:eastAsia="Arial" w:hAnsi="Arial" w:cs="Arial"/>
        </w:rPr>
      </w:pPr>
    </w:p>
    <w:p w:rsidR="002B7C6D" w:rsidRPr="000E7AC8" w:rsidRDefault="002B7C6D">
      <w:pPr>
        <w:spacing w:after="200"/>
        <w:jc w:val="center"/>
        <w:rPr>
          <w:rFonts w:ascii="Arial" w:eastAsia="Arial" w:hAnsi="Arial" w:cs="Arial"/>
        </w:rPr>
      </w:pPr>
    </w:p>
    <w:p w:rsidR="002B7C6D" w:rsidRPr="000E7AC8" w:rsidRDefault="002B7C6D" w:rsidP="007A345C">
      <w:pPr>
        <w:spacing w:after="200"/>
        <w:rPr>
          <w:rFonts w:ascii="Arial" w:eastAsia="Arial" w:hAnsi="Arial" w:cs="Arial"/>
        </w:rPr>
      </w:pPr>
    </w:p>
    <w:p w:rsidR="007A345C" w:rsidRPr="000E7AC8" w:rsidRDefault="007A345C" w:rsidP="007A345C">
      <w:pPr>
        <w:pStyle w:val="Legenda"/>
        <w:keepNext/>
        <w:rPr>
          <w:rFonts w:ascii="Arial" w:hAnsi="Arial" w:cs="Arial"/>
          <w:i w:val="0"/>
          <w:color w:val="auto"/>
        </w:rPr>
      </w:pPr>
      <w:bookmarkStart w:id="124" w:name="_Toc180054237"/>
      <w:bookmarkStart w:id="125" w:name="_Toc180139804"/>
      <w:r w:rsidRPr="000E7AC8">
        <w:rPr>
          <w:rFonts w:ascii="Arial" w:hAnsi="Arial" w:cs="Arial"/>
          <w:i w:val="0"/>
          <w:color w:val="auto"/>
        </w:rPr>
        <w:lastRenderedPageBreak/>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25</w:t>
      </w:r>
      <w:r w:rsidRPr="000E7AC8">
        <w:rPr>
          <w:rFonts w:ascii="Arial" w:hAnsi="Arial" w:cs="Arial"/>
          <w:i w:val="0"/>
          <w:color w:val="auto"/>
        </w:rPr>
        <w:fldChar w:fldCharType="end"/>
      </w:r>
      <w:r w:rsidRPr="000E7AC8">
        <w:rPr>
          <w:rFonts w:ascii="Arial" w:hAnsi="Arial" w:cs="Arial"/>
          <w:i w:val="0"/>
          <w:color w:val="auto"/>
        </w:rPr>
        <w:t>. Mapa da Gleba Estadual Passível para Concessão Florestal.</w:t>
      </w:r>
      <w:bookmarkEnd w:id="124"/>
      <w:bookmarkEnd w:id="125"/>
    </w:p>
    <w:p w:rsidR="002B7C6D" w:rsidRPr="000E7AC8" w:rsidRDefault="00E75F7D">
      <w:pPr>
        <w:spacing w:line="360" w:lineRule="auto"/>
        <w:rPr>
          <w:rFonts w:ascii="Arial" w:eastAsia="Arial" w:hAnsi="Arial" w:cs="Arial"/>
          <w:sz w:val="24"/>
          <w:szCs w:val="24"/>
        </w:rPr>
      </w:pPr>
      <w:r w:rsidRPr="000E7AC8">
        <w:rPr>
          <w:rFonts w:ascii="Arial" w:eastAsia="Arial" w:hAnsi="Arial" w:cs="Arial"/>
          <w:noProof/>
          <w:sz w:val="24"/>
          <w:szCs w:val="24"/>
        </w:rPr>
        <w:drawing>
          <wp:inline distT="114300" distB="114300" distL="114300" distR="114300" wp14:anchorId="172FA6F0" wp14:editId="1A23FBAA">
            <wp:extent cx="5939480" cy="4202760"/>
            <wp:effectExtent l="0" t="0" r="4445" b="7620"/>
            <wp:docPr id="160312999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8" cstate="print">
                      <a:extLst>
                        <a:ext uri="{28A0092B-C50C-407E-A947-70E740481C1C}">
                          <a14:useLocalDpi xmlns:a14="http://schemas.microsoft.com/office/drawing/2010/main" val="0"/>
                        </a:ext>
                      </a:extLst>
                    </a:blip>
                    <a:stretch>
                      <a:fillRect/>
                    </a:stretch>
                  </pic:blipFill>
                  <pic:spPr>
                    <a:xfrm>
                      <a:off x="0" y="0"/>
                      <a:ext cx="5939480" cy="4202760"/>
                    </a:xfrm>
                    <a:prstGeom prst="rect">
                      <a:avLst/>
                    </a:prstGeom>
                    <a:ln/>
                  </pic:spPr>
                </pic:pic>
              </a:graphicData>
            </a:graphic>
          </wp:inline>
        </w:drawing>
      </w:r>
    </w:p>
    <w:p w:rsidR="00222F5E" w:rsidRPr="000E7AC8" w:rsidRDefault="00222F5E">
      <w:pPr>
        <w:spacing w:line="360" w:lineRule="auto"/>
        <w:rPr>
          <w:rFonts w:ascii="Arial" w:eastAsia="Arial" w:hAnsi="Arial" w:cs="Arial"/>
          <w:sz w:val="24"/>
          <w:szCs w:val="24"/>
        </w:rPr>
      </w:pPr>
    </w:p>
    <w:p w:rsidR="002B7C6D" w:rsidRPr="000E7AC8" w:rsidRDefault="00E75F7D">
      <w:pPr>
        <w:pStyle w:val="Ttulo2"/>
        <w:ind w:firstLine="720"/>
        <w:rPr>
          <w:rFonts w:ascii="Arial" w:eastAsia="Arial" w:hAnsi="Arial" w:cs="Arial"/>
          <w:b/>
          <w:color w:val="38761D"/>
          <w:sz w:val="28"/>
          <w:szCs w:val="28"/>
        </w:rPr>
      </w:pPr>
      <w:bookmarkStart w:id="126" w:name="_Toc180138754"/>
      <w:r w:rsidRPr="000E7AC8">
        <w:rPr>
          <w:rFonts w:ascii="Arial" w:eastAsia="Arial" w:hAnsi="Arial" w:cs="Arial"/>
          <w:b/>
          <w:color w:val="38761D"/>
          <w:sz w:val="28"/>
          <w:szCs w:val="28"/>
        </w:rPr>
        <w:t>6.1. GLEBA MUNDO NOVO</w:t>
      </w:r>
      <w:bookmarkEnd w:id="126"/>
    </w:p>
    <w:p w:rsidR="002B7C6D" w:rsidRPr="000E7AC8" w:rsidRDefault="002B7C6D">
      <w:pPr>
        <w:rPr>
          <w:rFonts w:ascii="Arial" w:hAnsi="Arial" w:cs="Arial"/>
        </w:rPr>
      </w:pPr>
    </w:p>
    <w:p w:rsidR="002B7C6D" w:rsidRPr="000E7AC8" w:rsidRDefault="00E75F7D">
      <w:pPr>
        <w:spacing w:line="360" w:lineRule="auto"/>
        <w:ind w:firstLine="720"/>
        <w:jc w:val="both"/>
        <w:rPr>
          <w:rFonts w:ascii="Arial" w:eastAsia="Arial" w:hAnsi="Arial" w:cs="Arial"/>
          <w:color w:val="000000"/>
          <w:sz w:val="24"/>
          <w:szCs w:val="24"/>
        </w:rPr>
      </w:pPr>
      <w:bookmarkStart w:id="127" w:name="_heading=h.2p2csry" w:colFirst="0" w:colLast="0"/>
      <w:bookmarkEnd w:id="127"/>
      <w:r w:rsidRPr="000E7AC8">
        <w:rPr>
          <w:rFonts w:ascii="Arial" w:eastAsia="Arial" w:hAnsi="Arial" w:cs="Arial"/>
          <w:color w:val="000000"/>
          <w:sz w:val="24"/>
          <w:szCs w:val="24"/>
        </w:rPr>
        <w:t xml:space="preserve">A Gleba Mundo Novo está localizada no município de Manicoré, tendo limite com o Rio Madeira, Rio Atininga e as UC’s APA de Manicoré e Floresta Nacional do Aripuanã, a </w:t>
      </w:r>
      <w:r w:rsidR="00ED1DD5" w:rsidRPr="000E7AC8">
        <w:rPr>
          <w:rFonts w:ascii="Arial" w:eastAsia="Arial" w:hAnsi="Arial" w:cs="Arial"/>
          <w:color w:val="000000"/>
          <w:sz w:val="24"/>
          <w:szCs w:val="24"/>
        </w:rPr>
        <w:t>Gleba Mundo novo tem área de 845</w:t>
      </w:r>
      <w:r w:rsidRPr="000E7AC8">
        <w:rPr>
          <w:rFonts w:ascii="Arial" w:eastAsia="Arial" w:hAnsi="Arial" w:cs="Arial"/>
          <w:color w:val="000000"/>
          <w:sz w:val="24"/>
          <w:szCs w:val="24"/>
        </w:rPr>
        <w:t>.</w:t>
      </w:r>
      <w:r w:rsidR="00ED1DD5" w:rsidRPr="000E7AC8">
        <w:rPr>
          <w:rFonts w:ascii="Arial" w:eastAsia="Arial" w:hAnsi="Arial" w:cs="Arial"/>
          <w:color w:val="000000"/>
          <w:sz w:val="24"/>
          <w:szCs w:val="24"/>
        </w:rPr>
        <w:t>226</w:t>
      </w:r>
      <w:r w:rsidRPr="000E7AC8">
        <w:rPr>
          <w:rFonts w:ascii="Arial" w:eastAsia="Arial" w:hAnsi="Arial" w:cs="Arial"/>
          <w:color w:val="000000"/>
          <w:sz w:val="24"/>
          <w:szCs w:val="24"/>
        </w:rPr>
        <w:t>,</w:t>
      </w:r>
      <w:r w:rsidR="00ED1DD5" w:rsidRPr="000E7AC8">
        <w:rPr>
          <w:rFonts w:ascii="Arial" w:eastAsia="Arial" w:hAnsi="Arial" w:cs="Arial"/>
          <w:color w:val="000000"/>
          <w:sz w:val="24"/>
          <w:szCs w:val="24"/>
        </w:rPr>
        <w:t>38</w:t>
      </w:r>
      <w:r w:rsidRPr="000E7AC8">
        <w:rPr>
          <w:rFonts w:ascii="Arial" w:eastAsia="Arial" w:hAnsi="Arial" w:cs="Arial"/>
          <w:color w:val="000000"/>
          <w:sz w:val="24"/>
          <w:szCs w:val="24"/>
        </w:rPr>
        <w:t xml:space="preserve"> ha e seu acesso é fluvial ao norte pelo Rio Madeira, ao leste pelo Rio Maripuá e ao oeste pelo Rio Atininga através de embarcações de pequeno e médio porte. A distância da Gleba Mundo Novo para a capital do estado é de 247,68 km em linha reta.</w:t>
      </w:r>
    </w:p>
    <w:p w:rsidR="002B7C6D" w:rsidRPr="000E7AC8" w:rsidRDefault="00E75F7D">
      <w:pPr>
        <w:spacing w:line="360" w:lineRule="auto"/>
        <w:ind w:firstLine="720"/>
        <w:jc w:val="both"/>
        <w:rPr>
          <w:rFonts w:ascii="Arial" w:eastAsia="Arial" w:hAnsi="Arial" w:cs="Arial"/>
          <w:color w:val="000000"/>
          <w:sz w:val="24"/>
          <w:szCs w:val="24"/>
        </w:rPr>
      </w:pPr>
      <w:r w:rsidRPr="000E7AC8">
        <w:rPr>
          <w:rFonts w:ascii="Arial" w:eastAsia="Arial" w:hAnsi="Arial" w:cs="Arial"/>
          <w:color w:val="000000"/>
          <w:sz w:val="24"/>
          <w:szCs w:val="24"/>
        </w:rPr>
        <w:t>Sua principal fonte econômica vem da produção de alguns produtos da pecuária e extrativismo vegetal.</w:t>
      </w:r>
    </w:p>
    <w:p w:rsidR="002B7C6D" w:rsidRPr="000E7AC8" w:rsidRDefault="00E75F7D">
      <w:pPr>
        <w:spacing w:line="360" w:lineRule="auto"/>
        <w:ind w:firstLine="720"/>
        <w:jc w:val="both"/>
        <w:rPr>
          <w:rFonts w:ascii="Arial" w:eastAsia="Arial" w:hAnsi="Arial" w:cs="Arial"/>
          <w:color w:val="000000"/>
          <w:sz w:val="24"/>
          <w:szCs w:val="24"/>
        </w:rPr>
      </w:pPr>
      <w:r w:rsidRPr="000E7AC8">
        <w:rPr>
          <w:rFonts w:ascii="Arial" w:eastAsia="Arial" w:hAnsi="Arial" w:cs="Arial"/>
          <w:color w:val="000000"/>
          <w:sz w:val="24"/>
          <w:szCs w:val="24"/>
        </w:rPr>
        <w:lastRenderedPageBreak/>
        <w:t>A vegetação da gleba predomina com Floresta Ombrófila Densa Submontana, Floresta O</w:t>
      </w:r>
      <w:r w:rsidRPr="000E7AC8">
        <w:rPr>
          <w:rFonts w:ascii="Arial" w:eastAsia="Arial" w:hAnsi="Arial" w:cs="Arial"/>
          <w:sz w:val="24"/>
          <w:szCs w:val="24"/>
        </w:rPr>
        <w:t>m</w:t>
      </w:r>
      <w:r w:rsidRPr="000E7AC8">
        <w:rPr>
          <w:rFonts w:ascii="Arial" w:eastAsia="Arial" w:hAnsi="Arial" w:cs="Arial"/>
          <w:color w:val="000000"/>
          <w:sz w:val="24"/>
          <w:szCs w:val="24"/>
        </w:rPr>
        <w:t xml:space="preserve">brófila Densa das Terras Baixas, Floresta Ombrófila Densa </w:t>
      </w:r>
      <w:r w:rsidRPr="000E7AC8">
        <w:rPr>
          <w:rFonts w:ascii="Arial" w:eastAsia="Arial" w:hAnsi="Arial" w:cs="Arial"/>
          <w:sz w:val="24"/>
          <w:szCs w:val="24"/>
        </w:rPr>
        <w:t>Aberta</w:t>
      </w:r>
      <w:r w:rsidRPr="000E7AC8">
        <w:rPr>
          <w:rFonts w:ascii="Arial" w:eastAsia="Arial" w:hAnsi="Arial" w:cs="Arial"/>
          <w:color w:val="000000"/>
          <w:sz w:val="24"/>
          <w:szCs w:val="24"/>
        </w:rPr>
        <w:t xml:space="preserve"> </w:t>
      </w:r>
      <w:r w:rsidR="00C24974">
        <w:rPr>
          <w:rFonts w:ascii="Arial" w:eastAsia="Arial" w:hAnsi="Arial" w:cs="Arial"/>
          <w:color w:val="000000"/>
          <w:sz w:val="24"/>
          <w:szCs w:val="24"/>
        </w:rPr>
        <w:t xml:space="preserve">Aluvial, </w:t>
      </w:r>
      <w:r w:rsidRPr="000E7AC8">
        <w:rPr>
          <w:rFonts w:ascii="Arial" w:eastAsia="Arial" w:hAnsi="Arial" w:cs="Arial"/>
          <w:color w:val="000000"/>
          <w:sz w:val="24"/>
          <w:szCs w:val="24"/>
        </w:rPr>
        <w:t>como</w:t>
      </w:r>
      <w:r w:rsidR="00C24974">
        <w:rPr>
          <w:rFonts w:ascii="Arial" w:eastAsia="Arial" w:hAnsi="Arial" w:cs="Arial"/>
          <w:color w:val="000000"/>
          <w:sz w:val="24"/>
          <w:szCs w:val="24"/>
        </w:rPr>
        <w:t>,</w:t>
      </w:r>
      <w:r w:rsidRPr="000E7AC8">
        <w:rPr>
          <w:rFonts w:ascii="Arial" w:eastAsia="Arial" w:hAnsi="Arial" w:cs="Arial"/>
          <w:color w:val="000000"/>
          <w:sz w:val="24"/>
          <w:szCs w:val="24"/>
        </w:rPr>
        <w:t xml:space="preserve"> por exemplo</w:t>
      </w:r>
      <w:r w:rsidR="00C24974">
        <w:rPr>
          <w:rFonts w:ascii="Arial" w:eastAsia="Arial" w:hAnsi="Arial" w:cs="Arial"/>
          <w:color w:val="000000"/>
          <w:sz w:val="24"/>
          <w:szCs w:val="24"/>
        </w:rPr>
        <w:t>,</w:t>
      </w:r>
      <w:r w:rsidRPr="000E7AC8">
        <w:rPr>
          <w:rFonts w:ascii="Arial" w:eastAsia="Arial" w:hAnsi="Arial" w:cs="Arial"/>
          <w:color w:val="000000"/>
          <w:sz w:val="24"/>
          <w:szCs w:val="24"/>
        </w:rPr>
        <w:t xml:space="preserve"> várzea </w:t>
      </w:r>
      <w:r w:rsidRPr="000E7AC8">
        <w:rPr>
          <w:rFonts w:ascii="Arial" w:eastAsia="Arial" w:hAnsi="Arial" w:cs="Arial"/>
          <w:sz w:val="24"/>
          <w:szCs w:val="24"/>
        </w:rPr>
        <w:t>e igapós</w:t>
      </w:r>
      <w:r w:rsidRPr="000E7AC8">
        <w:rPr>
          <w:rFonts w:ascii="Arial" w:eastAsia="Arial" w:hAnsi="Arial" w:cs="Arial"/>
          <w:color w:val="000000"/>
          <w:sz w:val="24"/>
          <w:szCs w:val="24"/>
        </w:rPr>
        <w:t>. Das principais espécies encontradas na Gleba, destacam-se indivíduos da família Fabaceae, Laura</w:t>
      </w:r>
      <w:r w:rsidR="00A865FC" w:rsidRPr="000E7AC8">
        <w:rPr>
          <w:rFonts w:ascii="Arial" w:eastAsia="Arial" w:hAnsi="Arial" w:cs="Arial"/>
          <w:color w:val="000000"/>
          <w:sz w:val="24"/>
          <w:szCs w:val="24"/>
        </w:rPr>
        <w:t>ceae, Bombacaceae, Moraceae e L</w:t>
      </w:r>
      <w:r w:rsidR="00037ED2" w:rsidRPr="000E7AC8">
        <w:rPr>
          <w:rFonts w:ascii="Arial" w:eastAsia="Arial" w:hAnsi="Arial" w:cs="Arial"/>
          <w:color w:val="000000"/>
          <w:sz w:val="24"/>
          <w:szCs w:val="24"/>
        </w:rPr>
        <w:t>e</w:t>
      </w:r>
      <w:r w:rsidRPr="000E7AC8">
        <w:rPr>
          <w:rFonts w:ascii="Arial" w:eastAsia="Arial" w:hAnsi="Arial" w:cs="Arial"/>
          <w:color w:val="000000"/>
          <w:sz w:val="24"/>
          <w:szCs w:val="24"/>
        </w:rPr>
        <w:t>cythidaceae.</w:t>
      </w:r>
    </w:p>
    <w:p w:rsidR="002B7C6D" w:rsidRPr="000E7AC8" w:rsidRDefault="00E75F7D">
      <w:pPr>
        <w:spacing w:line="360" w:lineRule="auto"/>
        <w:ind w:firstLine="720"/>
        <w:jc w:val="both"/>
        <w:rPr>
          <w:rFonts w:ascii="Arial" w:eastAsia="Arial" w:hAnsi="Arial" w:cs="Arial"/>
          <w:color w:val="000000"/>
          <w:sz w:val="24"/>
          <w:szCs w:val="24"/>
        </w:rPr>
      </w:pPr>
      <w:r w:rsidRPr="000E7AC8">
        <w:rPr>
          <w:rFonts w:ascii="Arial" w:eastAsia="Arial" w:hAnsi="Arial" w:cs="Arial"/>
          <w:color w:val="000000"/>
          <w:sz w:val="24"/>
          <w:szCs w:val="24"/>
        </w:rPr>
        <w:t xml:space="preserve">Após estudos realizados visando a viabilidade de concessão na área da Gleba, contatou-se que </w:t>
      </w:r>
      <w:r w:rsidR="00364B4A" w:rsidRPr="000E7AC8">
        <w:rPr>
          <w:rFonts w:ascii="Arial" w:eastAsia="Arial" w:hAnsi="Arial" w:cs="Arial"/>
          <w:sz w:val="24"/>
          <w:szCs w:val="24"/>
        </w:rPr>
        <w:t>34,8</w:t>
      </w:r>
      <w:r w:rsidRPr="000E7AC8">
        <w:rPr>
          <w:rFonts w:ascii="Arial" w:eastAsia="Arial" w:hAnsi="Arial" w:cs="Arial"/>
          <w:sz w:val="24"/>
          <w:szCs w:val="24"/>
        </w:rPr>
        <w:t>2</w:t>
      </w:r>
      <w:r w:rsidR="00C24974">
        <w:rPr>
          <w:rFonts w:ascii="Arial" w:eastAsia="Arial" w:hAnsi="Arial" w:cs="Arial"/>
          <w:color w:val="000000"/>
          <w:sz w:val="24"/>
          <w:szCs w:val="24"/>
        </w:rPr>
        <w:t xml:space="preserve">% da área </w:t>
      </w:r>
      <w:r w:rsidRPr="000E7AC8">
        <w:rPr>
          <w:rFonts w:ascii="Arial" w:eastAsia="Arial" w:hAnsi="Arial" w:cs="Arial"/>
          <w:color w:val="000000"/>
          <w:sz w:val="24"/>
          <w:szCs w:val="24"/>
        </w:rPr>
        <w:t>é considerada passível de concessão, ou seja, de 8</w:t>
      </w:r>
      <w:r w:rsidRPr="000E7AC8">
        <w:rPr>
          <w:rFonts w:ascii="Arial" w:eastAsia="Arial" w:hAnsi="Arial" w:cs="Arial"/>
          <w:sz w:val="24"/>
          <w:szCs w:val="24"/>
        </w:rPr>
        <w:t>45</w:t>
      </w:r>
      <w:r w:rsidRPr="000E7AC8">
        <w:rPr>
          <w:rFonts w:ascii="Arial" w:eastAsia="Arial" w:hAnsi="Arial" w:cs="Arial"/>
          <w:color w:val="000000"/>
          <w:sz w:val="24"/>
          <w:szCs w:val="24"/>
        </w:rPr>
        <w:t>.</w:t>
      </w:r>
      <w:r w:rsidRPr="000E7AC8">
        <w:rPr>
          <w:rFonts w:ascii="Arial" w:eastAsia="Arial" w:hAnsi="Arial" w:cs="Arial"/>
          <w:sz w:val="24"/>
          <w:szCs w:val="24"/>
        </w:rPr>
        <w:t>226</w:t>
      </w:r>
      <w:r w:rsidRPr="000E7AC8">
        <w:rPr>
          <w:rFonts w:ascii="Arial" w:eastAsia="Arial" w:hAnsi="Arial" w:cs="Arial"/>
          <w:color w:val="000000"/>
          <w:sz w:val="24"/>
          <w:szCs w:val="24"/>
        </w:rPr>
        <w:t>,</w:t>
      </w:r>
      <w:r w:rsidRPr="000E7AC8">
        <w:rPr>
          <w:rFonts w:ascii="Arial" w:eastAsia="Arial" w:hAnsi="Arial" w:cs="Arial"/>
          <w:sz w:val="24"/>
          <w:szCs w:val="24"/>
        </w:rPr>
        <w:t>383</w:t>
      </w:r>
      <w:r w:rsidRPr="000E7AC8">
        <w:rPr>
          <w:rFonts w:ascii="Arial" w:eastAsia="Arial" w:hAnsi="Arial" w:cs="Arial"/>
          <w:color w:val="000000"/>
          <w:sz w:val="24"/>
          <w:szCs w:val="24"/>
        </w:rPr>
        <w:t xml:space="preserve"> ha da área total da Gleba, </w:t>
      </w:r>
      <w:r w:rsidRPr="000E7AC8">
        <w:rPr>
          <w:rFonts w:ascii="Arial" w:eastAsia="Arial" w:hAnsi="Arial" w:cs="Arial"/>
          <w:sz w:val="24"/>
          <w:szCs w:val="24"/>
        </w:rPr>
        <w:t>294</w:t>
      </w:r>
      <w:r w:rsidRPr="000E7AC8">
        <w:rPr>
          <w:rFonts w:ascii="Arial" w:eastAsia="Arial" w:hAnsi="Arial" w:cs="Arial"/>
          <w:color w:val="000000"/>
          <w:sz w:val="24"/>
          <w:szCs w:val="24"/>
        </w:rPr>
        <w:t>.</w:t>
      </w:r>
      <w:r w:rsidRPr="000E7AC8">
        <w:rPr>
          <w:rFonts w:ascii="Arial" w:eastAsia="Arial" w:hAnsi="Arial" w:cs="Arial"/>
          <w:sz w:val="24"/>
          <w:szCs w:val="24"/>
        </w:rPr>
        <w:t>317</w:t>
      </w:r>
      <w:r w:rsidRPr="000E7AC8">
        <w:rPr>
          <w:rFonts w:ascii="Arial" w:eastAsia="Arial" w:hAnsi="Arial" w:cs="Arial"/>
          <w:color w:val="000000"/>
          <w:sz w:val="24"/>
          <w:szCs w:val="24"/>
        </w:rPr>
        <w:t>,</w:t>
      </w:r>
      <w:r w:rsidRPr="000E7AC8">
        <w:rPr>
          <w:rFonts w:ascii="Arial" w:eastAsia="Arial" w:hAnsi="Arial" w:cs="Arial"/>
          <w:sz w:val="24"/>
          <w:szCs w:val="24"/>
        </w:rPr>
        <w:t>402</w:t>
      </w:r>
      <w:r w:rsidR="00C24974">
        <w:rPr>
          <w:rFonts w:ascii="Arial" w:eastAsia="Arial" w:hAnsi="Arial" w:cs="Arial"/>
          <w:color w:val="000000"/>
          <w:sz w:val="24"/>
          <w:szCs w:val="24"/>
        </w:rPr>
        <w:t xml:space="preserve"> ha estão aptos a serem concedidos</w:t>
      </w:r>
      <w:r w:rsidRPr="000E7AC8">
        <w:rPr>
          <w:rFonts w:ascii="Arial" w:eastAsia="Arial" w:hAnsi="Arial" w:cs="Arial"/>
          <w:color w:val="000000"/>
          <w:sz w:val="24"/>
          <w:szCs w:val="24"/>
        </w:rPr>
        <w:t>.</w:t>
      </w:r>
    </w:p>
    <w:p w:rsidR="002B7C6D" w:rsidRPr="000E7AC8" w:rsidRDefault="002B7C6D">
      <w:pPr>
        <w:pBdr>
          <w:top w:val="nil"/>
          <w:left w:val="nil"/>
          <w:bottom w:val="nil"/>
          <w:right w:val="nil"/>
          <w:between w:val="nil"/>
        </w:pBdr>
        <w:spacing w:after="200"/>
        <w:rPr>
          <w:rFonts w:ascii="Arial" w:eastAsia="Arial" w:hAnsi="Arial" w:cs="Arial"/>
          <w:color w:val="000000"/>
        </w:rPr>
      </w:pPr>
    </w:p>
    <w:p w:rsidR="007A345C" w:rsidRPr="000E7AC8" w:rsidRDefault="007A345C" w:rsidP="007A345C">
      <w:pPr>
        <w:pStyle w:val="Legenda"/>
        <w:keepNext/>
        <w:rPr>
          <w:rFonts w:ascii="Arial" w:hAnsi="Arial" w:cs="Arial"/>
          <w:i w:val="0"/>
          <w:color w:val="auto"/>
        </w:rPr>
      </w:pPr>
      <w:bookmarkStart w:id="128" w:name="_Toc180054238"/>
      <w:bookmarkStart w:id="129" w:name="_Toc180139805"/>
      <w:r w:rsidRPr="000E7AC8">
        <w:rPr>
          <w:rFonts w:ascii="Arial" w:hAnsi="Arial" w:cs="Arial"/>
          <w:i w:val="0"/>
          <w:color w:val="auto"/>
        </w:rPr>
        <w:t xml:space="preserve">Figura </w:t>
      </w:r>
      <w:r w:rsidRPr="000E7AC8">
        <w:rPr>
          <w:rFonts w:ascii="Arial" w:hAnsi="Arial" w:cs="Arial"/>
          <w:i w:val="0"/>
          <w:color w:val="auto"/>
        </w:rPr>
        <w:fldChar w:fldCharType="begin"/>
      </w:r>
      <w:r w:rsidRPr="000E7AC8">
        <w:rPr>
          <w:rFonts w:ascii="Arial" w:hAnsi="Arial" w:cs="Arial"/>
          <w:i w:val="0"/>
          <w:color w:val="auto"/>
        </w:rPr>
        <w:instrText xml:space="preserve"> SEQ Figura \* ARABIC </w:instrText>
      </w:r>
      <w:r w:rsidRPr="000E7AC8">
        <w:rPr>
          <w:rFonts w:ascii="Arial" w:hAnsi="Arial" w:cs="Arial"/>
          <w:i w:val="0"/>
          <w:color w:val="auto"/>
        </w:rPr>
        <w:fldChar w:fldCharType="separate"/>
      </w:r>
      <w:r w:rsidR="009247C4" w:rsidRPr="000E7AC8">
        <w:rPr>
          <w:rFonts w:ascii="Arial" w:hAnsi="Arial" w:cs="Arial"/>
          <w:i w:val="0"/>
          <w:noProof/>
          <w:color w:val="auto"/>
        </w:rPr>
        <w:t>26</w:t>
      </w:r>
      <w:r w:rsidRPr="000E7AC8">
        <w:rPr>
          <w:rFonts w:ascii="Arial" w:hAnsi="Arial" w:cs="Arial"/>
          <w:i w:val="0"/>
          <w:color w:val="auto"/>
        </w:rPr>
        <w:fldChar w:fldCharType="end"/>
      </w:r>
      <w:r w:rsidRPr="000E7AC8">
        <w:rPr>
          <w:rFonts w:ascii="Arial" w:hAnsi="Arial" w:cs="Arial"/>
          <w:i w:val="0"/>
          <w:color w:val="auto"/>
        </w:rPr>
        <w:t>. Mapa de abrangência da Gleba Estadual Mundo Novo.</w:t>
      </w:r>
      <w:bookmarkEnd w:id="128"/>
      <w:bookmarkEnd w:id="129"/>
    </w:p>
    <w:p w:rsidR="002B7C6D" w:rsidRPr="000E7AC8" w:rsidRDefault="00E75F7D">
      <w:pPr>
        <w:spacing w:line="360" w:lineRule="auto"/>
        <w:rPr>
          <w:rFonts w:ascii="Arial" w:eastAsia="Arial" w:hAnsi="Arial" w:cs="Arial"/>
          <w:sz w:val="24"/>
          <w:szCs w:val="24"/>
          <w:highlight w:val="yellow"/>
        </w:rPr>
      </w:pPr>
      <w:r w:rsidRPr="000E7AC8">
        <w:rPr>
          <w:rFonts w:ascii="Arial" w:eastAsia="Arial" w:hAnsi="Arial" w:cs="Arial"/>
          <w:noProof/>
          <w:sz w:val="24"/>
          <w:szCs w:val="24"/>
        </w:rPr>
        <w:drawing>
          <wp:inline distT="114300" distB="114300" distL="114300" distR="114300" wp14:anchorId="4FC72C7D" wp14:editId="2702A5EE">
            <wp:extent cx="5939480" cy="4203700"/>
            <wp:effectExtent l="0" t="0" r="0" b="0"/>
            <wp:docPr id="160312999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9"/>
                    <a:srcRect l="16" r="15"/>
                    <a:stretch>
                      <a:fillRect/>
                    </a:stretch>
                  </pic:blipFill>
                  <pic:spPr>
                    <a:xfrm>
                      <a:off x="0" y="0"/>
                      <a:ext cx="5939480" cy="4203700"/>
                    </a:xfrm>
                    <a:prstGeom prst="rect">
                      <a:avLst/>
                    </a:prstGeom>
                    <a:ln/>
                  </pic:spPr>
                </pic:pic>
              </a:graphicData>
            </a:graphic>
          </wp:inline>
        </w:drawing>
      </w:r>
    </w:p>
    <w:p w:rsidR="002B7C6D" w:rsidRPr="000E7AC8" w:rsidRDefault="00E75F7D">
      <w:pPr>
        <w:pStyle w:val="Ttulo1"/>
        <w:ind w:left="360" w:firstLine="360"/>
        <w:rPr>
          <w:rFonts w:ascii="Arial" w:eastAsia="Arial" w:hAnsi="Arial" w:cs="Arial"/>
          <w:b/>
          <w:color w:val="38761D"/>
          <w:sz w:val="28"/>
          <w:szCs w:val="28"/>
        </w:rPr>
      </w:pPr>
      <w:bookmarkStart w:id="130" w:name="_Toc180138755"/>
      <w:r w:rsidRPr="000E7AC8">
        <w:rPr>
          <w:rFonts w:ascii="Arial" w:eastAsia="Arial" w:hAnsi="Arial" w:cs="Arial"/>
          <w:b/>
          <w:color w:val="38761D"/>
          <w:sz w:val="28"/>
          <w:szCs w:val="28"/>
        </w:rPr>
        <w:lastRenderedPageBreak/>
        <w:t>7. MECANISMOS DE ACESSIBILIDADE</w:t>
      </w:r>
      <w:bookmarkEnd w:id="130"/>
    </w:p>
    <w:p w:rsidR="002B7C6D" w:rsidRPr="000E7AC8" w:rsidRDefault="002B7C6D">
      <w:pPr>
        <w:rPr>
          <w:rFonts w:ascii="Arial" w:eastAsia="Arial" w:hAnsi="Arial" w:cs="Arial"/>
          <w:sz w:val="24"/>
          <w:szCs w:val="24"/>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Conforme a Lei Estadual nº 4.41, de 29 de dezembro de 2016, artigo 17, para garantir o direito de acesso às concessões florestais por pessoas jurídicas de pequeno porte, micro e médias empresas, serão definidos no POFE, lotes de concessão, contendo várias unidades de manejo de tamanhos diversos, estabelecidos com base em critérios técnicos, as condições e as necessidades do setor florestal local, as peculiaridades regionais, a estrutura das cadeias produtivas, as infraestruturas locais e o acesso aos mercados, considerando os seguintes parâmetros:</w:t>
      </w:r>
    </w:p>
    <w:p w:rsidR="002B7C6D" w:rsidRPr="000E7AC8" w:rsidRDefault="00E75F7D">
      <w:pPr>
        <w:spacing w:before="280" w:line="360" w:lineRule="auto"/>
        <w:jc w:val="both"/>
        <w:rPr>
          <w:rFonts w:ascii="Arial" w:eastAsia="Arial" w:hAnsi="Arial" w:cs="Arial"/>
          <w:sz w:val="24"/>
          <w:szCs w:val="24"/>
        </w:rPr>
      </w:pPr>
      <w:r w:rsidRPr="000E7AC8">
        <w:rPr>
          <w:rFonts w:ascii="Arial" w:eastAsia="Arial" w:hAnsi="Arial" w:cs="Arial"/>
          <w:sz w:val="24"/>
          <w:szCs w:val="24"/>
        </w:rPr>
        <w:t xml:space="preserve"> I - Área necessária para completar um ciclo de produção de florestas para os produtos manejados;</w:t>
      </w:r>
    </w:p>
    <w:p w:rsidR="002B7C6D" w:rsidRPr="000E7AC8" w:rsidRDefault="00E75F7D">
      <w:pPr>
        <w:spacing w:line="360" w:lineRule="auto"/>
        <w:jc w:val="both"/>
        <w:rPr>
          <w:rFonts w:ascii="Arial" w:eastAsia="Arial" w:hAnsi="Arial" w:cs="Arial"/>
          <w:sz w:val="24"/>
          <w:szCs w:val="24"/>
        </w:rPr>
      </w:pPr>
      <w:r w:rsidRPr="000E7AC8">
        <w:rPr>
          <w:rFonts w:ascii="Arial" w:eastAsia="Arial" w:hAnsi="Arial" w:cs="Arial"/>
          <w:sz w:val="24"/>
          <w:szCs w:val="24"/>
        </w:rPr>
        <w:t>II - Estrutura, porte e capacidade dos agentes envolvidos nas cadeias produtivas.</w:t>
      </w:r>
    </w:p>
    <w:p w:rsidR="002B7C6D" w:rsidRPr="000E7AC8" w:rsidRDefault="00E75F7D">
      <w:pPr>
        <w:spacing w:before="240"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Os fatores redigidos pelo Art. 17 necessários para viabilizar o mecanismo de acessibilidade são obtidos por meio de estudos a serem realizados nas áreas destinadas às atividades de concessão florestal. Tal como foi realizado na Fase I dos estudos da Floresta Estadual de Maués, cuja viabilidade para a concessão e a definição da UMF resulta dos estudos e levantamentos, os quais servirão de modelo para as demais Florestas Estaduais passíveis à concessão florestal. </w:t>
      </w:r>
    </w:p>
    <w:p w:rsidR="00222F5E" w:rsidRPr="000E7AC8" w:rsidRDefault="00222F5E">
      <w:pPr>
        <w:spacing w:before="240" w:line="360" w:lineRule="auto"/>
        <w:ind w:firstLine="709"/>
        <w:jc w:val="both"/>
        <w:rPr>
          <w:rFonts w:ascii="Arial" w:eastAsia="Arial" w:hAnsi="Arial" w:cs="Arial"/>
          <w:sz w:val="24"/>
          <w:szCs w:val="24"/>
        </w:rPr>
      </w:pPr>
    </w:p>
    <w:p w:rsidR="002B7C6D" w:rsidRPr="000E7AC8" w:rsidRDefault="00E75F7D">
      <w:pPr>
        <w:pStyle w:val="Ttulo1"/>
        <w:numPr>
          <w:ilvl w:val="0"/>
          <w:numId w:val="6"/>
        </w:numPr>
        <w:rPr>
          <w:rFonts w:ascii="Arial" w:eastAsia="Arial" w:hAnsi="Arial" w:cs="Arial"/>
          <w:b/>
          <w:color w:val="38761D"/>
          <w:sz w:val="28"/>
          <w:szCs w:val="28"/>
        </w:rPr>
      </w:pPr>
      <w:bookmarkStart w:id="131" w:name="_Toc180138756"/>
      <w:r w:rsidRPr="000E7AC8">
        <w:rPr>
          <w:rFonts w:ascii="Arial" w:eastAsia="Arial" w:hAnsi="Arial" w:cs="Arial"/>
          <w:b/>
          <w:color w:val="38761D"/>
          <w:sz w:val="28"/>
          <w:szCs w:val="28"/>
        </w:rPr>
        <w:t>SISTEMA DE FISCALIZAÇÃO E CONTROLE</w:t>
      </w:r>
      <w:bookmarkEnd w:id="131"/>
    </w:p>
    <w:p w:rsidR="002B7C6D" w:rsidRPr="000E7AC8" w:rsidRDefault="002B7C6D">
      <w:pPr>
        <w:rPr>
          <w:rFonts w:ascii="Arial" w:eastAsia="Arial" w:hAnsi="Arial" w:cs="Arial"/>
          <w:sz w:val="24"/>
          <w:szCs w:val="24"/>
        </w:rPr>
      </w:pPr>
    </w:p>
    <w:p w:rsidR="002B7C6D" w:rsidRPr="000E7AC8" w:rsidRDefault="00E75F7D">
      <w:pPr>
        <w:pStyle w:val="Ttulo2"/>
        <w:ind w:firstLine="709"/>
        <w:rPr>
          <w:rFonts w:ascii="Arial" w:eastAsia="Arial" w:hAnsi="Arial" w:cs="Arial"/>
          <w:b/>
          <w:color w:val="38761D"/>
          <w:sz w:val="28"/>
          <w:szCs w:val="28"/>
        </w:rPr>
      </w:pPr>
      <w:bookmarkStart w:id="132" w:name="_Toc180138757"/>
      <w:r w:rsidRPr="000E7AC8">
        <w:rPr>
          <w:rFonts w:ascii="Arial" w:eastAsia="Arial" w:hAnsi="Arial" w:cs="Arial"/>
          <w:b/>
          <w:color w:val="38761D"/>
          <w:sz w:val="28"/>
          <w:szCs w:val="28"/>
        </w:rPr>
        <w:t>8.1. DA CONCESSÃO FLORESTAL</w:t>
      </w:r>
      <w:bookmarkEnd w:id="132"/>
    </w:p>
    <w:p w:rsidR="002B7C6D" w:rsidRPr="000E7AC8" w:rsidRDefault="002B7C6D">
      <w:pPr>
        <w:rPr>
          <w:rFonts w:ascii="Arial" w:eastAsia="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Para garantir a gestão eficiente dos contratos de concessão florestal, é necessário que haja o monitoramento das atividades propostas e obrigações contratuais assumidas pelo concessionário e pelo Órgão Gestor do Estado, de forma a garantir a sustentabilidade das florestas e gerar benefícios sociais, econômicos e</w:t>
      </w:r>
      <w:bookmarkStart w:id="133" w:name="_GoBack"/>
      <w:bookmarkEnd w:id="133"/>
      <w:r w:rsidRPr="000E7AC8">
        <w:rPr>
          <w:rFonts w:ascii="Arial" w:eastAsia="Arial" w:hAnsi="Arial" w:cs="Arial"/>
          <w:sz w:val="24"/>
          <w:szCs w:val="24"/>
        </w:rPr>
        <w:t xml:space="preserve"> ambientais. </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lastRenderedPageBreak/>
        <w:t xml:space="preserve">O monitoramento abrange o acompanhamento da execução das cláusulas do contrato de concessão no que tange às obrigações do concessionário, à demarcação da área, à aferição da produção dentro do regime econômico e financeiro do contrato e à manutenção das condições de habilitação estabelecidas no edital de licitação, bem como os critérios ambientais, sociais, eficiência e agregação de valor ao produto florestal, que tem sua avaliação realizada, quando da verificação do cumprimento das propostas técnicas do contrato de concessão, considerando para tanto as proposições assumidas pelo concessionário. </w:t>
      </w:r>
    </w:p>
    <w:p w:rsidR="00222F5E" w:rsidRPr="000E7AC8" w:rsidRDefault="00222F5E">
      <w:pPr>
        <w:spacing w:line="360" w:lineRule="auto"/>
        <w:ind w:firstLine="709"/>
        <w:jc w:val="both"/>
        <w:rPr>
          <w:rFonts w:ascii="Arial" w:eastAsia="Arial" w:hAnsi="Arial" w:cs="Arial"/>
        </w:rPr>
      </w:pPr>
    </w:p>
    <w:p w:rsidR="002B7C6D" w:rsidRPr="000E7AC8" w:rsidRDefault="002B7C6D">
      <w:pPr>
        <w:rPr>
          <w:rFonts w:ascii="Arial" w:eastAsia="Arial" w:hAnsi="Arial" w:cs="Arial"/>
        </w:rPr>
      </w:pPr>
    </w:p>
    <w:p w:rsidR="002B7C6D" w:rsidRPr="000E7AC8" w:rsidRDefault="00E75F7D">
      <w:pPr>
        <w:pStyle w:val="Ttulo2"/>
        <w:ind w:firstLine="720"/>
        <w:rPr>
          <w:rFonts w:ascii="Arial" w:eastAsia="Arial" w:hAnsi="Arial" w:cs="Arial"/>
          <w:b/>
          <w:color w:val="38761D"/>
          <w:sz w:val="28"/>
          <w:szCs w:val="28"/>
        </w:rPr>
      </w:pPr>
      <w:bookmarkStart w:id="134" w:name="_Toc180138758"/>
      <w:r w:rsidRPr="000E7AC8">
        <w:rPr>
          <w:rFonts w:ascii="Arial" w:eastAsia="Arial" w:hAnsi="Arial" w:cs="Arial"/>
          <w:b/>
          <w:color w:val="38761D"/>
          <w:sz w:val="28"/>
          <w:szCs w:val="28"/>
        </w:rPr>
        <w:t>8.2. DO MANEJO FLORESTAL</w:t>
      </w:r>
      <w:bookmarkEnd w:id="134"/>
    </w:p>
    <w:p w:rsidR="002B7C6D" w:rsidRPr="000E7AC8" w:rsidRDefault="002B7C6D">
      <w:pPr>
        <w:rPr>
          <w:rFonts w:ascii="Arial" w:eastAsia="Arial" w:hAnsi="Arial" w:cs="Arial"/>
        </w:rPr>
      </w:pP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As atividades de licenciamento e fiscalização ambiental estão a cargo do Ipaam e Sema. O Ipaam é o órgão responsável por expedir licenças e/ou autorizações, aplicações de autos de infração, aprovação, fiscalização e monitoramento dos PMFS das UMFs das florestas públicas sob concessão florestal. </w:t>
      </w:r>
    </w:p>
    <w:p w:rsidR="002B7C6D" w:rsidRPr="000E7AC8" w:rsidRDefault="00E75F7D">
      <w:pPr>
        <w:spacing w:line="360" w:lineRule="auto"/>
        <w:ind w:firstLine="709"/>
        <w:jc w:val="both"/>
        <w:rPr>
          <w:rFonts w:ascii="Arial" w:eastAsia="Arial" w:hAnsi="Arial" w:cs="Arial"/>
          <w:sz w:val="24"/>
          <w:szCs w:val="24"/>
        </w:rPr>
      </w:pPr>
      <w:r w:rsidRPr="000E7AC8">
        <w:rPr>
          <w:rFonts w:ascii="Arial" w:eastAsia="Arial" w:hAnsi="Arial" w:cs="Arial"/>
          <w:sz w:val="24"/>
          <w:szCs w:val="24"/>
        </w:rPr>
        <w:t xml:space="preserve">De acordo com a Lei Estadual nº 4.415, de 29 de dezembro de 2016, o órgão estadual ligado ao Sisnama será responsável pelo controle, monitoramento e fiscalização ambiental das atividades nas áreas concedidas em suas respectivas atribuições, conforme art. 57: </w:t>
      </w:r>
    </w:p>
    <w:p w:rsidR="002B7C6D" w:rsidRPr="000E7AC8" w:rsidRDefault="002B7C6D">
      <w:pPr>
        <w:spacing w:line="120" w:lineRule="auto"/>
        <w:ind w:firstLine="709"/>
        <w:jc w:val="both"/>
        <w:rPr>
          <w:rFonts w:ascii="Arial" w:eastAsia="Arial" w:hAnsi="Arial" w:cs="Arial"/>
          <w:sz w:val="24"/>
          <w:szCs w:val="24"/>
        </w:rPr>
      </w:pPr>
    </w:p>
    <w:p w:rsidR="002B7C6D" w:rsidRPr="000E7AC8" w:rsidRDefault="00E75F7D">
      <w:pPr>
        <w:numPr>
          <w:ilvl w:val="0"/>
          <w:numId w:val="9"/>
        </w:numPr>
        <w:spacing w:line="360" w:lineRule="auto"/>
        <w:jc w:val="both"/>
        <w:rPr>
          <w:rFonts w:ascii="Arial" w:eastAsia="Arial" w:hAnsi="Arial" w:cs="Arial"/>
          <w:sz w:val="24"/>
          <w:szCs w:val="24"/>
        </w:rPr>
      </w:pPr>
      <w:r w:rsidRPr="000E7AC8">
        <w:rPr>
          <w:rFonts w:ascii="Arial" w:eastAsia="Arial" w:hAnsi="Arial" w:cs="Arial"/>
          <w:sz w:val="24"/>
          <w:szCs w:val="24"/>
        </w:rPr>
        <w:t xml:space="preserve">Fiscalizar e garantir a proteção das florestas públicas estaduais; </w:t>
      </w:r>
    </w:p>
    <w:p w:rsidR="002B7C6D" w:rsidRPr="000E7AC8" w:rsidRDefault="00E75F7D">
      <w:pPr>
        <w:numPr>
          <w:ilvl w:val="0"/>
          <w:numId w:val="9"/>
        </w:numPr>
        <w:spacing w:line="360" w:lineRule="auto"/>
        <w:jc w:val="both"/>
        <w:rPr>
          <w:rFonts w:ascii="Arial" w:eastAsia="Arial" w:hAnsi="Arial" w:cs="Arial"/>
          <w:sz w:val="24"/>
          <w:szCs w:val="24"/>
        </w:rPr>
      </w:pPr>
      <w:r w:rsidRPr="000E7AC8">
        <w:rPr>
          <w:rFonts w:ascii="Arial" w:eastAsia="Arial" w:hAnsi="Arial" w:cs="Arial"/>
          <w:sz w:val="24"/>
          <w:szCs w:val="24"/>
        </w:rPr>
        <w:t xml:space="preserve">Efetuar em qualquer momento, de ofício, por solicitação da parte ou por denúncia de terceiros, fiscalização da unidade de manejo, independentemente de prévia notificação; </w:t>
      </w:r>
    </w:p>
    <w:p w:rsidR="002B7C6D" w:rsidRPr="000E7AC8" w:rsidRDefault="00E75F7D">
      <w:pPr>
        <w:numPr>
          <w:ilvl w:val="0"/>
          <w:numId w:val="9"/>
        </w:numPr>
        <w:spacing w:line="360" w:lineRule="auto"/>
        <w:jc w:val="both"/>
        <w:rPr>
          <w:rFonts w:ascii="Arial" w:eastAsia="Arial" w:hAnsi="Arial" w:cs="Arial"/>
          <w:sz w:val="24"/>
          <w:szCs w:val="24"/>
        </w:rPr>
      </w:pPr>
      <w:r w:rsidRPr="000E7AC8">
        <w:rPr>
          <w:rFonts w:ascii="Arial" w:eastAsia="Arial" w:hAnsi="Arial" w:cs="Arial"/>
          <w:sz w:val="24"/>
          <w:szCs w:val="24"/>
        </w:rPr>
        <w:t xml:space="preserve">Aplicar as devidas sanções administrativas em caso de infração ambiental; </w:t>
      </w:r>
    </w:p>
    <w:p w:rsidR="002B7C6D" w:rsidRPr="000E7AC8" w:rsidRDefault="00E75F7D">
      <w:pPr>
        <w:numPr>
          <w:ilvl w:val="0"/>
          <w:numId w:val="9"/>
        </w:numPr>
        <w:spacing w:line="360" w:lineRule="auto"/>
        <w:ind w:left="1066" w:hanging="357"/>
        <w:jc w:val="both"/>
        <w:rPr>
          <w:rFonts w:ascii="Arial" w:eastAsia="Arial" w:hAnsi="Arial" w:cs="Arial"/>
          <w:sz w:val="24"/>
          <w:szCs w:val="24"/>
        </w:rPr>
      </w:pPr>
      <w:r w:rsidRPr="000E7AC8">
        <w:rPr>
          <w:rFonts w:ascii="Arial" w:eastAsia="Arial" w:hAnsi="Arial" w:cs="Arial"/>
          <w:sz w:val="24"/>
          <w:szCs w:val="24"/>
        </w:rPr>
        <w:t>Licenciar e monitorar as atividades objeto da concessão.</w:t>
      </w:r>
    </w:p>
    <w:p w:rsidR="002B7C6D" w:rsidRPr="000E7AC8" w:rsidRDefault="002B7C6D">
      <w:pPr>
        <w:spacing w:line="360" w:lineRule="auto"/>
        <w:ind w:firstLine="720"/>
        <w:jc w:val="both"/>
        <w:rPr>
          <w:rFonts w:ascii="Arial" w:eastAsia="Arial" w:hAnsi="Arial" w:cs="Arial"/>
          <w:sz w:val="24"/>
          <w:szCs w:val="24"/>
        </w:rPr>
      </w:pPr>
    </w:p>
    <w:p w:rsidR="002B7C6D" w:rsidRPr="000E7AC8" w:rsidRDefault="00E75F7D">
      <w:pPr>
        <w:spacing w:line="360" w:lineRule="auto"/>
        <w:ind w:firstLine="720"/>
        <w:jc w:val="both"/>
        <w:rPr>
          <w:rFonts w:ascii="Arial" w:eastAsia="Arial" w:hAnsi="Arial" w:cs="Arial"/>
          <w:sz w:val="24"/>
          <w:szCs w:val="24"/>
        </w:rPr>
      </w:pPr>
      <w:r w:rsidRPr="000E7AC8">
        <w:rPr>
          <w:rFonts w:ascii="Arial" w:eastAsia="Arial" w:hAnsi="Arial" w:cs="Arial"/>
          <w:sz w:val="24"/>
          <w:szCs w:val="24"/>
        </w:rPr>
        <w:lastRenderedPageBreak/>
        <w:t>O referido órgão atuará, de forma colaborativa, com os outros órgãos do Sisnama, para a fiscalização e proteção das florestas estaduais, podendo firmar convênios ou acordos de cooperação.</w:t>
      </w:r>
    </w:p>
    <w:p w:rsidR="002B7C6D" w:rsidRPr="000E7AC8" w:rsidRDefault="00E75F7D">
      <w:pPr>
        <w:spacing w:line="360" w:lineRule="auto"/>
        <w:ind w:firstLine="720"/>
        <w:jc w:val="both"/>
        <w:rPr>
          <w:rFonts w:ascii="Arial" w:eastAsia="Arial" w:hAnsi="Arial" w:cs="Arial"/>
          <w:b/>
          <w:sz w:val="24"/>
          <w:szCs w:val="24"/>
        </w:rPr>
      </w:pPr>
      <w:r w:rsidRPr="000E7AC8">
        <w:rPr>
          <w:rFonts w:ascii="Arial" w:eastAsia="Arial" w:hAnsi="Arial" w:cs="Arial"/>
          <w:sz w:val="24"/>
          <w:szCs w:val="24"/>
        </w:rPr>
        <w:t>O monitoramento do cumprimento do contrato de concessão e outras regulamentações pertinentes serão conduzidos por meio da análise de documentação e visitas técnicas às UMFs, realizadas periodicamente por técnicos do órgão competente.</w:t>
      </w:r>
    </w:p>
    <w:p w:rsidR="002B7C6D" w:rsidRPr="000E7AC8" w:rsidRDefault="00E75F7D">
      <w:pPr>
        <w:rPr>
          <w:rFonts w:ascii="Arial" w:eastAsia="Arial" w:hAnsi="Arial" w:cs="Arial"/>
          <w:b/>
          <w:color w:val="38761D"/>
          <w:sz w:val="28"/>
          <w:szCs w:val="28"/>
        </w:rPr>
      </w:pPr>
      <w:bookmarkStart w:id="135" w:name="_heading=h.23ckvvd" w:colFirst="0" w:colLast="0"/>
      <w:bookmarkEnd w:id="135"/>
      <w:r w:rsidRPr="000E7AC8">
        <w:rPr>
          <w:rFonts w:ascii="Arial" w:hAnsi="Arial" w:cs="Arial"/>
        </w:rPr>
        <w:br w:type="page"/>
      </w:r>
    </w:p>
    <w:p w:rsidR="002B7C6D" w:rsidRPr="000E7AC8" w:rsidRDefault="00E75F7D">
      <w:pPr>
        <w:pStyle w:val="Ttulo1"/>
        <w:ind w:firstLine="720"/>
        <w:rPr>
          <w:rFonts w:ascii="Arial" w:eastAsia="Arial" w:hAnsi="Arial" w:cs="Arial"/>
          <w:b/>
          <w:color w:val="38761D"/>
          <w:sz w:val="28"/>
          <w:szCs w:val="28"/>
        </w:rPr>
      </w:pPr>
      <w:bookmarkStart w:id="136" w:name="_Toc180138759"/>
      <w:r w:rsidRPr="000E7AC8">
        <w:rPr>
          <w:rFonts w:ascii="Arial" w:eastAsia="Arial" w:hAnsi="Arial" w:cs="Arial"/>
          <w:b/>
          <w:color w:val="38761D"/>
          <w:sz w:val="28"/>
          <w:szCs w:val="28"/>
        </w:rPr>
        <w:lastRenderedPageBreak/>
        <w:t>9. REFERÊNCIAS</w:t>
      </w:r>
      <w:bookmarkEnd w:id="136"/>
    </w:p>
    <w:p w:rsidR="002B7C6D" w:rsidRPr="000E7AC8" w:rsidRDefault="002B7C6D">
      <w:pPr>
        <w:rPr>
          <w:rFonts w:ascii="Arial" w:eastAsia="Arial" w:hAnsi="Arial" w:cs="Arial"/>
          <w:sz w:val="24"/>
          <w:szCs w:val="24"/>
        </w:rPr>
      </w:pP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AMAZONAS.</w:t>
      </w:r>
      <w:r w:rsidRPr="000E7AC8">
        <w:rPr>
          <w:rFonts w:ascii="Arial" w:eastAsia="Arial" w:hAnsi="Arial" w:cs="Arial"/>
          <w:i w:val="0"/>
          <w:color w:val="000000"/>
          <w:sz w:val="24"/>
          <w:szCs w:val="24"/>
        </w:rPr>
        <w:t xml:space="preserve"> Decreto nº 23.540, de 19 de julho de 2003 que CRIA a Floresta Estadual de Maués;</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AMAZONAS.</w:t>
      </w:r>
      <w:r w:rsidRPr="000E7AC8">
        <w:rPr>
          <w:rFonts w:ascii="Arial" w:eastAsia="Arial" w:hAnsi="Arial" w:cs="Arial"/>
          <w:i w:val="0"/>
          <w:color w:val="000000"/>
          <w:sz w:val="24"/>
          <w:szCs w:val="24"/>
        </w:rPr>
        <w:t xml:space="preserve"> Decreto nº 24.806 de 19 de janeiro de 2005. Que CRIA a Floresta Estadual de Manicoré. Diário Oficial. Manaus, 2005. Disponível em: &lt;https://diario.imprensaoficial.am.gov.br/portal/visualizacoes/pdf/12485/#/p:1/e:12485&gt; Acesso em: 15 de junho de 2023.</w:t>
      </w:r>
    </w:p>
    <w:p w:rsidR="002B7C6D" w:rsidRPr="000E7AC8" w:rsidRDefault="00E75F7D">
      <w:pPr>
        <w:pStyle w:val="Ttulo4"/>
        <w:shd w:val="clear" w:color="auto" w:fill="FFFFFF"/>
        <w:spacing w:before="0" w:after="15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AMAZONAS.</w:t>
      </w:r>
      <w:r w:rsidRPr="000E7AC8">
        <w:rPr>
          <w:rFonts w:ascii="Arial" w:eastAsia="Arial" w:hAnsi="Arial" w:cs="Arial"/>
          <w:i w:val="0"/>
          <w:color w:val="000000"/>
          <w:sz w:val="24"/>
          <w:szCs w:val="24"/>
        </w:rPr>
        <w:t xml:space="preserve"> Decreto nº 28.419, de 27 de março 2009 que CRIA a Floresta Estadual Tapauá. Diário Oficial. Manaus, 2009. Disponível em: &lt;https://diario.imprensaoficial.am.gov.br/portal/visualizacoes/pdf/13480/#/p:1/e:13480&gt; Acesso em: 15 de junho de 2023.</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AMAZONAS</w:t>
      </w:r>
      <w:r w:rsidRPr="000E7AC8">
        <w:rPr>
          <w:rFonts w:ascii="Arial" w:eastAsia="Arial" w:hAnsi="Arial" w:cs="Arial"/>
          <w:i w:val="0"/>
          <w:color w:val="000000"/>
          <w:sz w:val="24"/>
          <w:szCs w:val="24"/>
        </w:rPr>
        <w:t xml:space="preserve">. Lei Complementar nº 53, de 05 de junho de 2007. Regulamenta o inciso V do artigo 230 e o § 1º do artigo 231 da Constituição Estadual, institui o Sistema Estadual de Unidades de Conservação - SEUC, dispondo sobre infrações e penalidades e estabelecendo outras providências. Diário Oficial. Manaus, 2007. </w:t>
      </w:r>
    </w:p>
    <w:p w:rsidR="002B7C6D" w:rsidRPr="000E7AC8" w:rsidRDefault="00E75F7D">
      <w:pPr>
        <w:spacing w:line="360" w:lineRule="auto"/>
        <w:jc w:val="both"/>
        <w:rPr>
          <w:rFonts w:ascii="Arial" w:eastAsia="Arial" w:hAnsi="Arial" w:cs="Arial"/>
          <w:sz w:val="24"/>
          <w:szCs w:val="24"/>
        </w:rPr>
      </w:pPr>
      <w:r w:rsidRPr="000E7AC8">
        <w:rPr>
          <w:rFonts w:ascii="Arial" w:eastAsia="Arial" w:hAnsi="Arial" w:cs="Arial"/>
          <w:sz w:val="24"/>
          <w:szCs w:val="24"/>
        </w:rPr>
        <w:t xml:space="preserve">Disponível </w:t>
      </w:r>
      <w:r w:rsidRPr="000E7AC8">
        <w:rPr>
          <w:rFonts w:ascii="Arial" w:eastAsia="Arial" w:hAnsi="Arial" w:cs="Arial"/>
          <w:sz w:val="24"/>
          <w:szCs w:val="24"/>
        </w:rPr>
        <w:tab/>
        <w:t>em: &lt;https://diario.imprensaoficial.am.gov.br/portal/visualizacoes/pdf/13052/#/p:1/e:13052&gt; Acesso em: 15 de junho de 2023.</w:t>
      </w:r>
    </w:p>
    <w:p w:rsidR="002B7C6D" w:rsidRPr="000E7AC8" w:rsidRDefault="002B7C6D">
      <w:pPr>
        <w:jc w:val="both"/>
        <w:rPr>
          <w:rFonts w:ascii="Arial" w:eastAsia="Arial" w:hAnsi="Arial" w:cs="Arial"/>
          <w:sz w:val="24"/>
          <w:szCs w:val="24"/>
        </w:rPr>
      </w:pPr>
    </w:p>
    <w:p w:rsidR="002B7C6D" w:rsidRPr="000E7AC8" w:rsidRDefault="00E75F7D">
      <w:pPr>
        <w:spacing w:line="360" w:lineRule="auto"/>
        <w:jc w:val="both"/>
        <w:rPr>
          <w:rFonts w:ascii="Arial" w:eastAsia="Arial" w:hAnsi="Arial" w:cs="Arial"/>
          <w:sz w:val="24"/>
          <w:szCs w:val="24"/>
        </w:rPr>
      </w:pPr>
      <w:r w:rsidRPr="000E7AC8">
        <w:rPr>
          <w:rFonts w:ascii="Arial" w:eastAsia="Arial" w:hAnsi="Arial" w:cs="Arial"/>
          <w:b/>
          <w:color w:val="000000"/>
          <w:sz w:val="24"/>
          <w:szCs w:val="24"/>
        </w:rPr>
        <w:t>AMAZONAS</w:t>
      </w:r>
      <w:r w:rsidRPr="000E7AC8">
        <w:rPr>
          <w:rFonts w:ascii="Arial" w:eastAsia="Arial" w:hAnsi="Arial" w:cs="Arial"/>
          <w:sz w:val="24"/>
          <w:szCs w:val="24"/>
        </w:rPr>
        <w:t>. Lei nº 4.406, de 13 de dezembro de 2016. Estabelece a Política Estadual de Regularização, dispõe sobre o cadastro ambiental rural – CAR, o sistema de cadastro ambiental rural – Sicar-AM, o programa de regularização ambiental – PRA, no Estado do Amazonas. Manaus, AM: Diário Oficial, 2016. Disponível em: &lt;https://diario.imprensaoficial.am.gov.br/portal/visualizacoes/pdf/15325/#/p:3/e:15325&gt; Acesso em: 15 de junho de 2023.</w:t>
      </w:r>
    </w:p>
    <w:p w:rsidR="002B7C6D" w:rsidRPr="000E7AC8" w:rsidRDefault="002B7C6D">
      <w:pPr>
        <w:spacing w:line="360" w:lineRule="auto"/>
        <w:jc w:val="both"/>
        <w:rPr>
          <w:rFonts w:ascii="Arial" w:eastAsia="Arial" w:hAnsi="Arial" w:cs="Arial"/>
          <w:sz w:val="24"/>
          <w:szCs w:val="24"/>
        </w:rPr>
      </w:pPr>
    </w:p>
    <w:p w:rsidR="002B7C6D" w:rsidRPr="000E7AC8" w:rsidRDefault="00E75F7D">
      <w:pPr>
        <w:pStyle w:val="Ttulo4"/>
        <w:shd w:val="clear" w:color="auto" w:fill="FFFFFF"/>
        <w:spacing w:before="0" w:after="15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lastRenderedPageBreak/>
        <w:t>AMAZONAS.</w:t>
      </w:r>
      <w:r w:rsidRPr="000E7AC8">
        <w:rPr>
          <w:rFonts w:ascii="Arial" w:eastAsia="Arial" w:hAnsi="Arial" w:cs="Arial"/>
          <w:i w:val="0"/>
          <w:color w:val="000000"/>
          <w:sz w:val="24"/>
          <w:szCs w:val="24"/>
        </w:rPr>
        <w:t xml:space="preserve"> Lei nº 4.415, de 29 de dezembro de 2016. Dispõe sobre a gestão de florestas situadas em áreas de domínio do Estado para produção sustentável, institui na estrutura da Secretaria de Estado do Meio Ambiente - SEMA a Secretaria Executiva Adjunta de Gestão Florestal - SEAGF, cria o Fundo Estadual de Desenvolvimento Florestal - FEDF e dá outras providências. Manaus, AM: Diário Oficial, 2016. Disponível em:&lt;https://diario.imprensaoficial.am.gov.br/portal/visualizacoes/pdf/15326/#/p:31/e:15326&gt; Acesso em: 15 de junho de 2023.</w:t>
      </w:r>
    </w:p>
    <w:p w:rsidR="002B7C6D" w:rsidRPr="000E7AC8" w:rsidRDefault="00E75F7D">
      <w:pPr>
        <w:pStyle w:val="Ttulo4"/>
        <w:shd w:val="clear" w:color="auto" w:fill="FFFFFF"/>
        <w:spacing w:before="0" w:line="360" w:lineRule="auto"/>
        <w:jc w:val="both"/>
        <w:rPr>
          <w:rFonts w:ascii="Arial" w:eastAsia="Arial" w:hAnsi="Arial" w:cs="Arial"/>
        </w:rPr>
      </w:pPr>
      <w:r w:rsidRPr="000E7AC8">
        <w:rPr>
          <w:rFonts w:ascii="Arial" w:eastAsia="Arial" w:hAnsi="Arial" w:cs="Arial"/>
          <w:b/>
          <w:i w:val="0"/>
          <w:color w:val="000000"/>
          <w:sz w:val="24"/>
          <w:szCs w:val="24"/>
        </w:rPr>
        <w:t>AMAZONAS.</w:t>
      </w:r>
      <w:r w:rsidRPr="000E7AC8">
        <w:rPr>
          <w:rFonts w:ascii="Arial" w:eastAsia="Arial" w:hAnsi="Arial" w:cs="Arial"/>
          <w:i w:val="0"/>
          <w:color w:val="000000"/>
          <w:sz w:val="24"/>
          <w:szCs w:val="24"/>
        </w:rPr>
        <w:t xml:space="preserve"> LEI nº 5.225, de 03 de setembro de 2020. Altera, na forma que especifica, a Lei n. 4.415, de 29 de dezembro de 2016 que dispõe sobre a gestão de florestas situadas em áreas de domínio do Estado para produção sustentável; institui na estrutura da Secretaria de Estado do Meio Ambiente - SEMA a Secretaria Executiva Adjunta de Gestão Florestal - SEAGF; cria o Fundo Estadual de Desenvolvimento Florestal - FEDF e dá outras providências. Manaus, AM: Diário Oficial, 2020. Disponível em:&lt;https://diario.imprensaoficial.am.gov.br/portal/visualizacoes/pdf/16345/#/p:1/e:16345&gt;Acesso em: 15 de junho de 2023.</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AMAZONAS.</w:t>
      </w:r>
      <w:r w:rsidRPr="000E7AC8">
        <w:rPr>
          <w:rFonts w:ascii="Arial" w:eastAsia="Arial" w:hAnsi="Arial" w:cs="Arial"/>
          <w:i w:val="0"/>
          <w:color w:val="000000"/>
          <w:sz w:val="24"/>
          <w:szCs w:val="24"/>
        </w:rPr>
        <w:t xml:space="preserve"> Lei nº 4.266, de 1º de dezembro de 2015. Institui a Política do Estado do Amazonas de Serviços Ambientais e o Sistema de Gestão dos Serviços Ambientais, cria o Fundo Estadual de Mudanças Climáticas, Conservação Ambiental e Serviços Ambientais. Manaus, AM: Diário Oficial, 2015. Manaus, AM: Diário Oficial, 2020. Disponível em: &lt;https://diario.imprensaoficial.am.gov.br/portal/visualizacoes/pdf/15071/#/p:1/e:15071&gt;Acesso em: 15 de junho de 2023.</w:t>
      </w:r>
    </w:p>
    <w:p w:rsidR="002B7C6D" w:rsidRPr="000E7AC8" w:rsidRDefault="002B7C6D">
      <w:pPr>
        <w:pStyle w:val="Ttulo4"/>
        <w:shd w:val="clear" w:color="auto" w:fill="FFFFFF"/>
        <w:spacing w:before="0" w:line="360" w:lineRule="auto"/>
        <w:jc w:val="both"/>
        <w:rPr>
          <w:rFonts w:ascii="Arial" w:eastAsia="Arial" w:hAnsi="Arial" w:cs="Arial"/>
          <w:i w:val="0"/>
          <w:color w:val="000000"/>
          <w:sz w:val="24"/>
          <w:szCs w:val="24"/>
        </w:rPr>
      </w:pP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lastRenderedPageBreak/>
        <w:t>AMAZONAS.</w:t>
      </w:r>
      <w:r w:rsidRPr="000E7AC8">
        <w:rPr>
          <w:rFonts w:ascii="Arial" w:eastAsia="Arial" w:hAnsi="Arial" w:cs="Arial"/>
          <w:i w:val="0"/>
          <w:color w:val="000000"/>
          <w:sz w:val="24"/>
          <w:szCs w:val="24"/>
        </w:rPr>
        <w:t xml:space="preserve"> Lei n° 6.104, de 23 de dezembro de 2022. Altera, na forma que especifica, </w:t>
      </w:r>
      <w:hyperlink r:id="rId50">
        <w:r w:rsidRPr="000E7AC8">
          <w:rPr>
            <w:rFonts w:ascii="Arial" w:eastAsia="Arial" w:hAnsi="Arial" w:cs="Arial"/>
            <w:i w:val="0"/>
            <w:color w:val="000000"/>
            <w:sz w:val="24"/>
            <w:szCs w:val="24"/>
          </w:rPr>
          <w:t>Lei n.º 5.054</w:t>
        </w:r>
      </w:hyperlink>
      <w:r w:rsidRPr="000E7AC8">
        <w:rPr>
          <w:rFonts w:ascii="Arial" w:eastAsia="Arial" w:hAnsi="Arial" w:cs="Arial"/>
          <w:i w:val="0"/>
          <w:color w:val="000000"/>
          <w:sz w:val="24"/>
          <w:szCs w:val="24"/>
        </w:rPr>
        <w:t xml:space="preserve">, de 27 de dezembro de 2019, que autoriza o Poder Executivo a constituir a Companhia Amazonense de Desenvolvimento e Mobilização de Ativos - CADA’’, e MODIFICA o artigo 61 da </w:t>
      </w:r>
      <w:hyperlink r:id="rId51">
        <w:r w:rsidRPr="000E7AC8">
          <w:rPr>
            <w:rFonts w:ascii="Arial" w:eastAsia="Arial" w:hAnsi="Arial" w:cs="Arial"/>
            <w:i w:val="0"/>
            <w:color w:val="000000"/>
            <w:sz w:val="24"/>
            <w:szCs w:val="24"/>
          </w:rPr>
          <w:t>Lei n.º 4.415</w:t>
        </w:r>
      </w:hyperlink>
      <w:r w:rsidRPr="000E7AC8">
        <w:rPr>
          <w:rFonts w:ascii="Arial" w:eastAsia="Arial" w:hAnsi="Arial" w:cs="Arial"/>
          <w:i w:val="0"/>
          <w:color w:val="000000"/>
          <w:sz w:val="24"/>
          <w:szCs w:val="24"/>
        </w:rPr>
        <w:t>, de 29 de dezembro de 2016, que “DISPÕE sobre a gestão de florestas situadas em áreas de domínio do Estado para produção sustentável; INSTITUI na estrutura da Secretaria de Estado do Meio Ambiente - SEMA a Secretaria Executiva Adjunta de Gestão Florestal - SEAGF, CRIA o Fundo Estadual de Desenvolvimento Florestal - FEDF, e dá outras providências. Disponível em: &lt;https://diario.imprensaoficial.am.gov.br/portal/visualizacoes/pdf/17058/#/p:12/e:17058&gt; Acesso em: 15 de junho de 2023.</w:t>
      </w:r>
    </w:p>
    <w:p w:rsidR="002B7C6D" w:rsidRPr="000E7AC8" w:rsidRDefault="002B7C6D">
      <w:pPr>
        <w:pStyle w:val="Ttulo4"/>
        <w:shd w:val="clear" w:color="auto" w:fill="FFFFFF"/>
        <w:spacing w:before="0" w:line="360" w:lineRule="auto"/>
        <w:jc w:val="both"/>
        <w:rPr>
          <w:rFonts w:ascii="Arial" w:eastAsia="Arial" w:hAnsi="Arial" w:cs="Arial"/>
        </w:rPr>
      </w:pP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AMAZONAS.</w:t>
      </w:r>
      <w:r w:rsidRPr="000E7AC8">
        <w:rPr>
          <w:rFonts w:ascii="Arial" w:eastAsia="Arial" w:hAnsi="Arial" w:cs="Arial"/>
          <w:i w:val="0"/>
          <w:color w:val="000000"/>
          <w:sz w:val="24"/>
          <w:szCs w:val="24"/>
        </w:rPr>
        <w:t xml:space="preserve"> Portaria nº 55, de 12 de março de 2010. Que resolve reconhecer o conjunto de unidades de conservação como Mosaico de Unidades de Conservação do Apuí; Disponível em:&lt;http://meioambiente.am.gov.br/wp-content/uploads/2020/07/Portaria-55_2010-Cria%C3%A7%C3%A3o-do-CG-do-Mosaico-do-Apui.pdf&gt; Acesso em: 16 de junho de 2023.</w:t>
      </w:r>
    </w:p>
    <w:p w:rsidR="002B7C6D" w:rsidRPr="000E7AC8" w:rsidRDefault="002B7C6D">
      <w:pPr>
        <w:pStyle w:val="Ttulo4"/>
        <w:shd w:val="clear" w:color="auto" w:fill="FFFFFF"/>
        <w:spacing w:before="0" w:line="360" w:lineRule="auto"/>
        <w:jc w:val="both"/>
        <w:rPr>
          <w:rFonts w:ascii="Arial" w:eastAsia="Arial" w:hAnsi="Arial" w:cs="Arial"/>
          <w:i w:val="0"/>
          <w:color w:val="000000"/>
          <w:sz w:val="24"/>
          <w:szCs w:val="24"/>
        </w:rPr>
      </w:pP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AMAZONAS.</w:t>
      </w:r>
      <w:r w:rsidRPr="000E7AC8">
        <w:rPr>
          <w:rFonts w:ascii="Arial" w:eastAsia="Arial" w:hAnsi="Arial" w:cs="Arial"/>
          <w:i w:val="0"/>
          <w:color w:val="000000"/>
          <w:sz w:val="24"/>
          <w:szCs w:val="24"/>
        </w:rPr>
        <w:t xml:space="preserve"> Portaria SDS nº 123, de julho de 2014. Que aprova o PLANO DE GESTÃO da unidade de conservação da Floresta Estadual de Tapauá.</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 xml:space="preserve">AMAZONAS. </w:t>
      </w:r>
      <w:r w:rsidRPr="000E7AC8">
        <w:rPr>
          <w:rFonts w:ascii="Arial" w:eastAsia="Arial" w:hAnsi="Arial" w:cs="Arial"/>
          <w:i w:val="0"/>
          <w:color w:val="000000"/>
          <w:sz w:val="24"/>
          <w:szCs w:val="24"/>
        </w:rPr>
        <w:t>Portaria SDS n° 002, de 26 de janeiro de 2010. Resolve: Criar o conselho consultivo da Floresta de Maués;</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 xml:space="preserve">AMAZONAS. </w:t>
      </w:r>
      <w:r w:rsidRPr="000E7AC8">
        <w:rPr>
          <w:rFonts w:ascii="Arial" w:eastAsia="Arial" w:hAnsi="Arial" w:cs="Arial"/>
          <w:i w:val="0"/>
          <w:color w:val="000000"/>
          <w:sz w:val="24"/>
          <w:szCs w:val="24"/>
        </w:rPr>
        <w:t>Portaria SDS n° 046, de 23 de maio de 2012. Resolve: Aprovar o Plano de Gestão da Floresta Estadual de Maués, no município de Maués;</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lastRenderedPageBreak/>
        <w:t>AMAZONAS.</w:t>
      </w:r>
      <w:r w:rsidRPr="000E7AC8">
        <w:rPr>
          <w:rFonts w:ascii="Arial" w:eastAsia="Arial" w:hAnsi="Arial" w:cs="Arial"/>
          <w:i w:val="0"/>
          <w:color w:val="000000"/>
          <w:sz w:val="24"/>
          <w:szCs w:val="24"/>
        </w:rPr>
        <w:t xml:space="preserve"> Resolução CEMAAM nº 35 de, 19 de janeiro de 2022. Altera a Resolução CEMAAM N.° 30, de 03 de dezembro de 2018, que estabelece os procedimentos técnicos para elaboração, apresentação, execução e avaliação técnica de Planos de Manejo Florestal Sustentável - PMFS de Maior Impacto de Exploração e de Menor Impacto de Exploração nas florestas nativas e formações sucessoras no Estado do Amazonas.;</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BRASIL.</w:t>
      </w:r>
      <w:r w:rsidRPr="000E7AC8">
        <w:rPr>
          <w:rFonts w:ascii="Arial" w:eastAsia="Arial" w:hAnsi="Arial" w:cs="Arial"/>
          <w:i w:val="0"/>
          <w:color w:val="000000"/>
          <w:sz w:val="24"/>
          <w:szCs w:val="24"/>
        </w:rPr>
        <w:t xml:space="preserve"> </w:t>
      </w:r>
      <w:hyperlink r:id="rId52">
        <w:r w:rsidRPr="000E7AC8">
          <w:rPr>
            <w:rFonts w:ascii="Arial" w:eastAsia="Arial" w:hAnsi="Arial" w:cs="Arial"/>
            <w:i w:val="0"/>
            <w:color w:val="000000"/>
            <w:sz w:val="24"/>
            <w:szCs w:val="24"/>
          </w:rPr>
          <w:t>Decreto nº 5.975, de 30 de novembro de 2006.</w:t>
        </w:r>
      </w:hyperlink>
      <w:r w:rsidRPr="000E7AC8">
        <w:rPr>
          <w:rFonts w:ascii="Arial" w:eastAsia="Arial" w:hAnsi="Arial" w:cs="Arial"/>
          <w:i w:val="0"/>
          <w:color w:val="000000"/>
          <w:sz w:val="24"/>
          <w:szCs w:val="24"/>
        </w:rPr>
        <w:t xml:space="preserve"> Regulamenta os arts. 12, parte final, 15, 16, 19, 20 e 21 da Lei no 4.771, de 15 de setembro de 1965, o art. 4o, inciso III, da Lei no 6.938, de 31 de agosto de 1981, o art. 2o da Lei no 10.650, de 16 de abril de 2003, altera e acrescenta dispositivos aos Decretos nos 3.179, de 21 de setembro de 1999, e 3.420, de 20 de abril de 2000, e dá outras providências. Brasília, DF: Diário Oficial da União </w:t>
      </w:r>
      <w:r w:rsidRPr="000E7AC8">
        <w:rPr>
          <w:rFonts w:ascii="Arial" w:eastAsia="Arial" w:hAnsi="Arial" w:cs="Arial"/>
          <w:i w:val="0"/>
          <w:color w:val="000000"/>
          <w:sz w:val="24"/>
          <w:szCs w:val="24"/>
          <w:highlight w:val="white"/>
        </w:rPr>
        <w:t>de 1º.12.2006</w:t>
      </w:r>
      <w:r w:rsidRPr="000E7AC8">
        <w:rPr>
          <w:rFonts w:ascii="Arial" w:eastAsia="Arial" w:hAnsi="Arial" w:cs="Arial"/>
          <w:i w:val="0"/>
          <w:color w:val="000000"/>
          <w:sz w:val="24"/>
          <w:szCs w:val="24"/>
        </w:rPr>
        <w:t>, 2006.</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BRASIL.</w:t>
      </w:r>
      <w:r w:rsidRPr="000E7AC8">
        <w:rPr>
          <w:rFonts w:ascii="Arial" w:eastAsia="Arial" w:hAnsi="Arial" w:cs="Arial"/>
          <w:i w:val="0"/>
          <w:color w:val="000000"/>
          <w:sz w:val="24"/>
          <w:szCs w:val="24"/>
        </w:rPr>
        <w:t xml:space="preserve"> </w:t>
      </w:r>
      <w:hyperlink r:id="rId53">
        <w:r w:rsidRPr="000E7AC8">
          <w:rPr>
            <w:rFonts w:ascii="Arial" w:eastAsia="Arial" w:hAnsi="Arial" w:cs="Arial"/>
            <w:i w:val="0"/>
            <w:color w:val="000000"/>
            <w:sz w:val="24"/>
            <w:szCs w:val="24"/>
          </w:rPr>
          <w:t>Decreto nº 6.063, de 20 de março de 2007.</w:t>
        </w:r>
      </w:hyperlink>
      <w:r w:rsidRPr="000E7AC8">
        <w:rPr>
          <w:rFonts w:ascii="Arial" w:eastAsia="Arial" w:hAnsi="Arial" w:cs="Arial"/>
          <w:i w:val="0"/>
          <w:color w:val="000000"/>
          <w:sz w:val="24"/>
          <w:szCs w:val="24"/>
        </w:rPr>
        <w:t xml:space="preserve"> Regulamenta, no âmbito federal, dispositivos da Lei no 11.284, de 2 de março de 2006, que dispõe sobre a gestão de florestas públicas para a produção sustentável, e dá outras providências. Brasília, DF: Diário Oficial da União, 2007.</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BRASIL</w:t>
      </w:r>
      <w:r w:rsidRPr="000E7AC8">
        <w:rPr>
          <w:rFonts w:ascii="Arial" w:eastAsia="Arial" w:hAnsi="Arial" w:cs="Arial"/>
          <w:i w:val="0"/>
          <w:color w:val="000000"/>
          <w:sz w:val="24"/>
          <w:szCs w:val="24"/>
        </w:rPr>
        <w:t>. Instrução Normativa MMA nº 4, de 11 de dezembro de 2006. Dispõe sobre a Autorização Prévia à Análise Técnica de Plano de Manejo Florestal Sustentável-APAT, e dá outras providências;</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BRASIL.</w:t>
      </w:r>
      <w:r w:rsidRPr="000E7AC8">
        <w:rPr>
          <w:rFonts w:ascii="Arial" w:eastAsia="Arial" w:hAnsi="Arial" w:cs="Arial"/>
          <w:i w:val="0"/>
          <w:color w:val="000000"/>
          <w:sz w:val="24"/>
          <w:szCs w:val="24"/>
        </w:rPr>
        <w:t xml:space="preserve"> Instrução Normativa nº 5, de 11 de dezembro de 2006. Dispõe sobre procedimentos técnicos para elaboração, apresentação, execução e avaliação técnica de Planos de Manejo Florestal Sustentável - PMFSs nas florestas primitivas e suas formas de sucessão na Amazônia Legal, e dá outras providências;</w:t>
      </w:r>
    </w:p>
    <w:p w:rsidR="002B7C6D" w:rsidRPr="000E7AC8" w:rsidRDefault="00E75F7D">
      <w:pPr>
        <w:jc w:val="both"/>
        <w:rPr>
          <w:rFonts w:ascii="Arial" w:eastAsia="Arial" w:hAnsi="Arial" w:cs="Arial"/>
          <w:sz w:val="24"/>
          <w:szCs w:val="24"/>
        </w:rPr>
      </w:pPr>
      <w:r w:rsidRPr="000E7AC8">
        <w:rPr>
          <w:rFonts w:ascii="Arial" w:eastAsia="Arial" w:hAnsi="Arial" w:cs="Arial"/>
          <w:b/>
          <w:sz w:val="24"/>
          <w:szCs w:val="24"/>
        </w:rPr>
        <w:t xml:space="preserve">BRASIL. </w:t>
      </w:r>
      <w:r w:rsidRPr="000E7AC8">
        <w:rPr>
          <w:rFonts w:ascii="Arial" w:eastAsia="Arial" w:hAnsi="Arial" w:cs="Arial"/>
          <w:sz w:val="24"/>
          <w:szCs w:val="24"/>
        </w:rPr>
        <w:t>Instrução Normativa 2, de 27 de junho de 2007. Altera dispositivos da instrução normativa no 5, de 11 de dezembro de 2006, e dá outras providências.</w:t>
      </w:r>
    </w:p>
    <w:p w:rsidR="002B7C6D" w:rsidRPr="000E7AC8" w:rsidRDefault="002B7C6D">
      <w:pPr>
        <w:rPr>
          <w:rFonts w:ascii="Arial" w:eastAsia="Arial" w:hAnsi="Arial" w:cs="Arial"/>
        </w:rPr>
      </w:pPr>
    </w:p>
    <w:p w:rsidR="002B7C6D" w:rsidRPr="000E7AC8" w:rsidRDefault="00E75F7D">
      <w:pPr>
        <w:shd w:val="clear" w:color="auto" w:fill="FFFFFF"/>
        <w:spacing w:line="360" w:lineRule="auto"/>
        <w:jc w:val="both"/>
        <w:rPr>
          <w:rFonts w:ascii="Arial" w:eastAsia="Arial" w:hAnsi="Arial" w:cs="Arial"/>
          <w:sz w:val="24"/>
          <w:szCs w:val="24"/>
        </w:rPr>
      </w:pPr>
      <w:r w:rsidRPr="000E7AC8">
        <w:rPr>
          <w:rFonts w:ascii="Arial" w:eastAsia="Arial" w:hAnsi="Arial" w:cs="Arial"/>
          <w:b/>
          <w:sz w:val="24"/>
          <w:szCs w:val="24"/>
        </w:rPr>
        <w:t>BRASIL</w:t>
      </w:r>
      <w:r w:rsidRPr="000E7AC8">
        <w:rPr>
          <w:rFonts w:ascii="Arial" w:eastAsia="Arial" w:hAnsi="Arial" w:cs="Arial"/>
          <w:sz w:val="24"/>
          <w:szCs w:val="24"/>
        </w:rPr>
        <w:t xml:space="preserve">. Lei nº 11.284, de 2 de março de 2006. Dispõe sobre a gestão de florestas públicas para a produção sustentável; institui, na estrutura do Ministério do Meio Ambiente, o Serviço Florestal Brasileiro (SFB); cria o Fundo Nacional de </w:t>
      </w:r>
      <w:r w:rsidRPr="000E7AC8">
        <w:rPr>
          <w:rFonts w:ascii="Arial" w:eastAsia="Arial" w:hAnsi="Arial" w:cs="Arial"/>
          <w:sz w:val="24"/>
          <w:szCs w:val="24"/>
        </w:rPr>
        <w:lastRenderedPageBreak/>
        <w:t>Desenvolvimento Florestal (FNDF); e dá outras providências. Brasília, DF: Diário Oficial, 2006.</w:t>
      </w:r>
    </w:p>
    <w:p w:rsidR="002B7C6D" w:rsidRPr="000E7AC8" w:rsidRDefault="002B7C6D">
      <w:pPr>
        <w:shd w:val="clear" w:color="auto" w:fill="FFFFFF"/>
        <w:spacing w:line="120" w:lineRule="auto"/>
        <w:jc w:val="both"/>
        <w:rPr>
          <w:rFonts w:ascii="Arial" w:eastAsia="Arial" w:hAnsi="Arial" w:cs="Arial"/>
          <w:sz w:val="24"/>
          <w:szCs w:val="24"/>
        </w:rPr>
      </w:pP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BRASIL.</w:t>
      </w:r>
      <w:r w:rsidRPr="000E7AC8">
        <w:rPr>
          <w:rFonts w:ascii="Arial" w:eastAsia="Arial" w:hAnsi="Arial" w:cs="Arial"/>
          <w:i w:val="0"/>
          <w:color w:val="000000"/>
          <w:sz w:val="24"/>
          <w:szCs w:val="24"/>
        </w:rPr>
        <w:t xml:space="preserve"> Lei nº 12.651, de 25 de maio de 2012 - DISPÕE sobre a proteção da vegetação nativa. Altera as Leis nºs 6.938, de 31 de agosto de 1981, 9.393, de 19 de dezembro de 1996, e 11.428, de 22 de dezembro de 2006; revoga as Leis nºs 4.771, de 15 de setembro de 1965, e 7.754, de 14 de abril de 1989, e a Medida Provisória nº 2.166-67, de 24 de agosto de 2001; e dá outras providências. Brasília, DF: Diário Oficial da União, 2012.</w:t>
      </w:r>
    </w:p>
    <w:p w:rsidR="002B7C6D" w:rsidRPr="000E7AC8" w:rsidRDefault="002B7C6D">
      <w:pPr>
        <w:rPr>
          <w:rFonts w:ascii="Arial" w:eastAsia="Arial" w:hAnsi="Arial" w:cs="Arial"/>
        </w:rPr>
      </w:pPr>
    </w:p>
    <w:p w:rsidR="002B7C6D" w:rsidRPr="000E7AC8" w:rsidRDefault="002B7C6D">
      <w:pPr>
        <w:spacing w:line="120" w:lineRule="auto"/>
        <w:rPr>
          <w:rFonts w:ascii="Arial" w:eastAsia="Arial" w:hAnsi="Arial" w:cs="Arial"/>
        </w:rPr>
      </w:pPr>
    </w:p>
    <w:p w:rsidR="002B7C6D" w:rsidRPr="000E7AC8" w:rsidRDefault="00E75F7D">
      <w:pPr>
        <w:spacing w:line="360" w:lineRule="auto"/>
        <w:jc w:val="both"/>
        <w:rPr>
          <w:rFonts w:ascii="Arial" w:eastAsia="Arial" w:hAnsi="Arial" w:cs="Arial"/>
          <w:sz w:val="24"/>
          <w:szCs w:val="24"/>
        </w:rPr>
      </w:pPr>
      <w:r w:rsidRPr="000E7AC8">
        <w:rPr>
          <w:rFonts w:ascii="Arial" w:eastAsia="Arial" w:hAnsi="Arial" w:cs="Arial"/>
          <w:b/>
          <w:sz w:val="24"/>
          <w:szCs w:val="24"/>
        </w:rPr>
        <w:t>BRASIL.</w:t>
      </w:r>
      <w:r w:rsidRPr="000E7AC8">
        <w:rPr>
          <w:rFonts w:ascii="Arial" w:eastAsia="Arial" w:hAnsi="Arial" w:cs="Arial"/>
          <w:sz w:val="24"/>
          <w:szCs w:val="24"/>
        </w:rPr>
        <w:t xml:space="preserve"> Resolução CONAMA nº 406 de, 02 de fevereiro de 2009. Estabelece parâmetros técnicos a serem adotados na elaboração, apresentação, avaliação técnica e execução de Plano de Manejo Florestal Sustentável - PMFS com fins madeireiros, para florestas nativas e suas formas de sucessão no bioma Amazônia;</w:t>
      </w:r>
    </w:p>
    <w:p w:rsidR="002B7C6D" w:rsidRPr="000E7AC8" w:rsidRDefault="002B7C6D">
      <w:pPr>
        <w:spacing w:line="360" w:lineRule="auto"/>
        <w:rPr>
          <w:rFonts w:ascii="Arial" w:eastAsia="Arial" w:hAnsi="Arial" w:cs="Arial"/>
          <w:b/>
          <w:sz w:val="24"/>
          <w:szCs w:val="24"/>
        </w:rPr>
      </w:pPr>
    </w:p>
    <w:p w:rsidR="002B7C6D" w:rsidRPr="000E7AC8" w:rsidRDefault="002B7C6D">
      <w:pPr>
        <w:spacing w:line="120" w:lineRule="auto"/>
        <w:rPr>
          <w:rFonts w:ascii="Arial" w:eastAsia="Arial" w:hAnsi="Arial" w:cs="Arial"/>
        </w:rPr>
      </w:pP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b/>
          <w:i w:val="0"/>
          <w:color w:val="000000"/>
          <w:sz w:val="24"/>
          <w:szCs w:val="24"/>
        </w:rPr>
        <w:t>BRASIL.</w:t>
      </w:r>
      <w:r w:rsidRPr="000E7AC8">
        <w:rPr>
          <w:rFonts w:ascii="Arial" w:eastAsia="Arial" w:hAnsi="Arial" w:cs="Arial"/>
          <w:i w:val="0"/>
          <w:color w:val="000000"/>
          <w:sz w:val="24"/>
          <w:szCs w:val="24"/>
        </w:rPr>
        <w:t xml:space="preserve"> </w:t>
      </w:r>
      <w:hyperlink r:id="rId54">
        <w:r w:rsidRPr="000E7AC8">
          <w:rPr>
            <w:rFonts w:ascii="Arial" w:eastAsia="Arial" w:hAnsi="Arial" w:cs="Arial"/>
            <w:i w:val="0"/>
            <w:color w:val="000000"/>
            <w:sz w:val="24"/>
            <w:szCs w:val="24"/>
          </w:rPr>
          <w:t>Resolução SFB nº 02, de 6 de julho de 2007 (CNFP)</w:t>
        </w:r>
      </w:hyperlink>
      <w:r w:rsidRPr="000E7AC8">
        <w:rPr>
          <w:rFonts w:ascii="Arial" w:eastAsia="Arial" w:hAnsi="Arial" w:cs="Arial"/>
          <w:i w:val="0"/>
          <w:color w:val="000000"/>
          <w:sz w:val="24"/>
          <w:szCs w:val="24"/>
        </w:rPr>
        <w:t>. Regulamenta o Cadastro Nacional de Florestas Públicas, define os tipos de vegetação e as formações de cobertura florestal, para fins de identificação das florestas públicas federais, e dá outras providências;</w:t>
      </w:r>
    </w:p>
    <w:p w:rsidR="002B7C6D" w:rsidRPr="000E7AC8" w:rsidRDefault="00E75F7D">
      <w:pPr>
        <w:rPr>
          <w:rFonts w:ascii="Arial" w:eastAsia="Arial" w:hAnsi="Arial" w:cs="Arial"/>
          <w:sz w:val="24"/>
          <w:szCs w:val="24"/>
        </w:rPr>
      </w:pPr>
      <w:r w:rsidRPr="000E7AC8">
        <w:rPr>
          <w:rFonts w:ascii="Arial" w:eastAsia="Arial" w:hAnsi="Arial" w:cs="Arial"/>
          <w:sz w:val="24"/>
          <w:szCs w:val="24"/>
        </w:rPr>
        <w:t>Instituto Brasileiro de Geografia e Estatística — IBGE. Manual Técnico da Vegetação Brasileira. 2° ed. Rio de Janeiro, 2012.</w:t>
      </w:r>
    </w:p>
    <w:p w:rsidR="002B7C6D" w:rsidRPr="000E7AC8" w:rsidRDefault="002B7C6D">
      <w:pPr>
        <w:rPr>
          <w:rFonts w:ascii="Arial" w:eastAsia="Arial" w:hAnsi="Arial" w:cs="Arial"/>
          <w:sz w:val="24"/>
          <w:szCs w:val="24"/>
        </w:rPr>
      </w:pPr>
    </w:p>
    <w:p w:rsidR="002B7C6D" w:rsidRPr="000E7AC8" w:rsidRDefault="00E75F7D">
      <w:pPr>
        <w:rPr>
          <w:rFonts w:ascii="Arial" w:eastAsia="Arial" w:hAnsi="Arial" w:cs="Arial"/>
          <w:sz w:val="24"/>
          <w:szCs w:val="24"/>
        </w:rPr>
      </w:pPr>
      <w:r w:rsidRPr="000E7AC8">
        <w:rPr>
          <w:rFonts w:ascii="Arial" w:eastAsia="Arial" w:hAnsi="Arial" w:cs="Arial"/>
          <w:sz w:val="24"/>
          <w:szCs w:val="24"/>
        </w:rPr>
        <w:t>Instituto Brasileiro de Geografia e Estatística — IBGE. Manual Técnico de Pedologia. 3° ed. Rio de Janeiro, 2015.</w:t>
      </w: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i w:val="0"/>
          <w:color w:val="000000"/>
          <w:sz w:val="24"/>
          <w:szCs w:val="24"/>
        </w:rPr>
        <w:lastRenderedPageBreak/>
        <w:t>Instituto de Conservação e Desenvolvimento Sustentável do Amazonas – IDESAM; Mapeamento Participativo do Uso dos Recursos Naturais da Floresta Estadual de Maués – Maués – AM, março de 2010.</w:t>
      </w:r>
    </w:p>
    <w:p w:rsidR="002B7C6D" w:rsidRPr="000E7AC8" w:rsidRDefault="00E75F7D">
      <w:pPr>
        <w:pStyle w:val="Ttulo4"/>
        <w:spacing w:before="0" w:after="150" w:line="360" w:lineRule="auto"/>
        <w:jc w:val="both"/>
        <w:rPr>
          <w:rFonts w:ascii="Arial" w:eastAsia="Arial" w:hAnsi="Arial" w:cs="Arial"/>
          <w:i w:val="0"/>
          <w:color w:val="000000"/>
          <w:sz w:val="24"/>
          <w:szCs w:val="24"/>
        </w:rPr>
      </w:pPr>
      <w:r w:rsidRPr="000E7AC8">
        <w:rPr>
          <w:rFonts w:ascii="Arial" w:eastAsia="Arial" w:hAnsi="Arial" w:cs="Arial"/>
          <w:i w:val="0"/>
          <w:color w:val="000000"/>
          <w:sz w:val="24"/>
          <w:szCs w:val="24"/>
        </w:rPr>
        <w:t>Plano de Gestão Floresta Canutama Vol. I – Diagnóstico, julho de 2014.</w:t>
      </w:r>
    </w:p>
    <w:p w:rsidR="002B7C6D" w:rsidRPr="000E7AC8" w:rsidRDefault="00E75F7D">
      <w:pPr>
        <w:pStyle w:val="Ttulo4"/>
        <w:spacing w:before="0" w:after="150" w:line="360" w:lineRule="auto"/>
        <w:jc w:val="both"/>
        <w:rPr>
          <w:rFonts w:ascii="Arial" w:eastAsia="Arial" w:hAnsi="Arial" w:cs="Arial"/>
          <w:i w:val="0"/>
          <w:color w:val="000000"/>
          <w:sz w:val="24"/>
          <w:szCs w:val="24"/>
        </w:rPr>
      </w:pPr>
      <w:r w:rsidRPr="000E7AC8">
        <w:rPr>
          <w:rFonts w:ascii="Arial" w:eastAsia="Arial" w:hAnsi="Arial" w:cs="Arial"/>
          <w:i w:val="0"/>
          <w:color w:val="000000"/>
          <w:sz w:val="24"/>
          <w:szCs w:val="24"/>
        </w:rPr>
        <w:t xml:space="preserve">Plano de Gestão Floresta Canutama Vol. II - Planejamento, julho de 2014. </w:t>
      </w:r>
    </w:p>
    <w:p w:rsidR="002B7C6D" w:rsidRPr="000E7AC8" w:rsidRDefault="00E75F7D">
      <w:pPr>
        <w:spacing w:line="360" w:lineRule="auto"/>
        <w:jc w:val="both"/>
        <w:rPr>
          <w:rFonts w:ascii="Arial" w:eastAsia="Arial" w:hAnsi="Arial" w:cs="Arial"/>
          <w:sz w:val="24"/>
          <w:szCs w:val="24"/>
        </w:rPr>
      </w:pPr>
      <w:r w:rsidRPr="000E7AC8">
        <w:rPr>
          <w:rFonts w:ascii="Arial" w:eastAsia="Arial" w:hAnsi="Arial" w:cs="Arial"/>
          <w:color w:val="000000"/>
          <w:sz w:val="24"/>
          <w:szCs w:val="24"/>
        </w:rPr>
        <w:t>Plano de Gestão Floresta Tapauá Vol. I</w:t>
      </w:r>
      <w:r w:rsidRPr="000E7AC8">
        <w:rPr>
          <w:rFonts w:ascii="Arial" w:eastAsia="Arial" w:hAnsi="Arial" w:cs="Arial"/>
          <w:sz w:val="24"/>
          <w:szCs w:val="24"/>
        </w:rPr>
        <w:t xml:space="preserve"> - Diagnóstico e II - Planejamento, julho de 2014.  </w:t>
      </w:r>
    </w:p>
    <w:p w:rsidR="002B7C6D" w:rsidRPr="000E7AC8" w:rsidRDefault="002B7C6D">
      <w:pPr>
        <w:spacing w:line="120" w:lineRule="auto"/>
        <w:jc w:val="both"/>
        <w:rPr>
          <w:rFonts w:ascii="Arial" w:eastAsia="Arial" w:hAnsi="Arial" w:cs="Arial"/>
          <w:sz w:val="24"/>
          <w:szCs w:val="24"/>
        </w:rPr>
      </w:pPr>
    </w:p>
    <w:p w:rsidR="002B7C6D" w:rsidRPr="000E7AC8" w:rsidRDefault="00CA56D3">
      <w:pPr>
        <w:shd w:val="clear" w:color="auto" w:fill="FFFFFF"/>
        <w:spacing w:line="360" w:lineRule="auto"/>
        <w:jc w:val="both"/>
        <w:rPr>
          <w:rFonts w:ascii="Arial" w:eastAsia="Arial" w:hAnsi="Arial" w:cs="Arial"/>
          <w:sz w:val="24"/>
          <w:szCs w:val="24"/>
        </w:rPr>
      </w:pPr>
      <w:hyperlink r:id="rId55">
        <w:r w:rsidR="00E75F7D" w:rsidRPr="000E7AC8">
          <w:rPr>
            <w:rFonts w:ascii="Arial" w:eastAsia="Arial" w:hAnsi="Arial" w:cs="Arial"/>
            <w:sz w:val="24"/>
            <w:szCs w:val="24"/>
          </w:rPr>
          <w:t>Plano de Gestão Mosaico do Apuí 9 UC</w:t>
        </w:r>
      </w:hyperlink>
      <w:r w:rsidR="00E75F7D" w:rsidRPr="000E7AC8">
        <w:rPr>
          <w:rFonts w:ascii="Arial" w:eastAsia="Arial" w:hAnsi="Arial" w:cs="Arial"/>
          <w:sz w:val="24"/>
          <w:szCs w:val="24"/>
        </w:rPr>
        <w:t xml:space="preserve"> Vol. I – Diagnóstico e Vol. II – Planejamento, Apuí – Amazonas, março de 2010.</w:t>
      </w:r>
    </w:p>
    <w:p w:rsidR="002B7C6D" w:rsidRPr="000E7AC8" w:rsidRDefault="002B7C6D">
      <w:pPr>
        <w:shd w:val="clear" w:color="auto" w:fill="FFFFFF"/>
        <w:spacing w:line="120" w:lineRule="auto"/>
        <w:jc w:val="both"/>
        <w:rPr>
          <w:rFonts w:ascii="Arial" w:eastAsia="Arial" w:hAnsi="Arial" w:cs="Arial"/>
          <w:sz w:val="24"/>
          <w:szCs w:val="24"/>
        </w:rPr>
      </w:pP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i w:val="0"/>
          <w:color w:val="000000"/>
          <w:sz w:val="24"/>
          <w:szCs w:val="24"/>
        </w:rPr>
        <w:t>Revisão do Plano de Gestão Floresta Estadual de Maués Vol. I – Diagnóstico e Vol. II Planejamento, agosto de 2010.</w:t>
      </w:r>
    </w:p>
    <w:p w:rsidR="002B7C6D" w:rsidRPr="000E7AC8" w:rsidRDefault="002B7C6D">
      <w:pPr>
        <w:spacing w:line="120" w:lineRule="auto"/>
        <w:rPr>
          <w:rFonts w:ascii="Arial" w:eastAsia="Arial" w:hAnsi="Arial" w:cs="Arial"/>
        </w:rPr>
      </w:pPr>
    </w:p>
    <w:p w:rsidR="002B7C6D" w:rsidRPr="000E7AC8" w:rsidRDefault="00E75F7D">
      <w:pPr>
        <w:pStyle w:val="Ttulo4"/>
        <w:shd w:val="clear" w:color="auto" w:fill="FFFFFF"/>
        <w:spacing w:before="0" w:line="360" w:lineRule="auto"/>
        <w:jc w:val="both"/>
        <w:rPr>
          <w:rFonts w:ascii="Arial" w:eastAsia="Arial" w:hAnsi="Arial" w:cs="Arial"/>
          <w:i w:val="0"/>
          <w:color w:val="000000"/>
          <w:sz w:val="24"/>
          <w:szCs w:val="24"/>
        </w:rPr>
      </w:pPr>
      <w:r w:rsidRPr="000E7AC8">
        <w:rPr>
          <w:rFonts w:ascii="Arial" w:eastAsia="Arial" w:hAnsi="Arial" w:cs="Arial"/>
          <w:i w:val="0"/>
          <w:color w:val="000000"/>
          <w:sz w:val="24"/>
          <w:szCs w:val="24"/>
        </w:rPr>
        <w:t xml:space="preserve">Serviço Florestal Brasileiro – Cadastro Nacional de Florestas Públicas- Atualização 2020 (SFB, 2020). </w:t>
      </w:r>
    </w:p>
    <w:p w:rsidR="002B7C6D" w:rsidRPr="000E7AC8" w:rsidRDefault="002B7C6D">
      <w:pPr>
        <w:spacing w:line="360" w:lineRule="auto"/>
        <w:jc w:val="both"/>
        <w:rPr>
          <w:rFonts w:ascii="Arial" w:eastAsia="Arial" w:hAnsi="Arial" w:cs="Arial"/>
        </w:rPr>
      </w:pPr>
    </w:p>
    <w:sectPr w:rsidR="002B7C6D" w:rsidRPr="000E7AC8" w:rsidSect="00D42023">
      <w:headerReference w:type="default" r:id="rId56"/>
      <w:footerReference w:type="default" r:id="rId57"/>
      <w:pgSz w:w="11906" w:h="16838"/>
      <w:pgMar w:top="2552" w:right="851" w:bottom="1701" w:left="1701" w:header="851" w:footer="231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48A6" w:rsidRDefault="003E48A6">
      <w:r>
        <w:separator/>
      </w:r>
    </w:p>
  </w:endnote>
  <w:endnote w:type="continuationSeparator" w:id="0">
    <w:p w:rsidR="003E48A6" w:rsidRDefault="003E48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Novecento wide Book">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Guardian Egyp Thin">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56D3" w:rsidRDefault="00CA56D3">
    <w:pPr>
      <w:pBdr>
        <w:top w:val="nil"/>
        <w:left w:val="nil"/>
        <w:bottom w:val="nil"/>
        <w:right w:val="nil"/>
        <w:between w:val="nil"/>
      </w:pBdr>
      <w:tabs>
        <w:tab w:val="center" w:pos="4252"/>
        <w:tab w:val="right" w:pos="8504"/>
      </w:tabs>
      <w:rPr>
        <w:rFonts w:ascii="Guardian Egyp Thin" w:eastAsia="Guardian Egyp Thin" w:hAnsi="Guardian Egyp Thin" w:cs="Guardian Egyp Thin"/>
        <w:color w:val="000000"/>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56D3" w:rsidRDefault="00CA56D3">
    <w:pPr>
      <w:widowControl w:val="0"/>
      <w:pBdr>
        <w:top w:val="nil"/>
        <w:left w:val="nil"/>
        <w:bottom w:val="nil"/>
        <w:right w:val="nil"/>
        <w:between w:val="nil"/>
      </w:pBdr>
      <w:spacing w:line="276" w:lineRule="auto"/>
      <w:rPr>
        <w:rFonts w:ascii="Calibri" w:eastAsia="Calibri" w:hAnsi="Calibri" w:cs="Calibri"/>
        <w:color w:val="000000"/>
        <w:sz w:val="22"/>
        <w:szCs w:val="22"/>
      </w:rPr>
    </w:pPr>
  </w:p>
  <w:tbl>
    <w:tblPr>
      <w:tblStyle w:val="ab"/>
      <w:tblW w:w="9345" w:type="dxa"/>
      <w:tblInd w:w="-3"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000000"/>
      </w:tblBorders>
      <w:tblLayout w:type="fixed"/>
      <w:tblLook w:val="0600" w:firstRow="0" w:lastRow="0" w:firstColumn="0" w:lastColumn="0" w:noHBand="1" w:noVBand="1"/>
    </w:tblPr>
    <w:tblGrid>
      <w:gridCol w:w="3115"/>
      <w:gridCol w:w="3115"/>
      <w:gridCol w:w="3115"/>
    </w:tblGrid>
    <w:tr w:rsidR="00CA56D3">
      <w:trPr>
        <w:trHeight w:val="300"/>
      </w:trPr>
      <w:tc>
        <w:tcPr>
          <w:tcW w:w="3115" w:type="dxa"/>
        </w:tcPr>
        <w:p w:rsidR="00CA56D3" w:rsidRDefault="00CA56D3">
          <w:pPr>
            <w:pBdr>
              <w:top w:val="nil"/>
              <w:left w:val="nil"/>
              <w:bottom w:val="nil"/>
              <w:right w:val="nil"/>
              <w:between w:val="nil"/>
            </w:pBdr>
            <w:tabs>
              <w:tab w:val="center" w:pos="4252"/>
              <w:tab w:val="right" w:pos="8504"/>
            </w:tabs>
            <w:ind w:left="-115"/>
            <w:rPr>
              <w:rFonts w:ascii="Calibri" w:eastAsia="Calibri" w:hAnsi="Calibri" w:cs="Calibri"/>
              <w:sz w:val="22"/>
              <w:szCs w:val="22"/>
            </w:rPr>
          </w:pPr>
        </w:p>
      </w:tc>
      <w:tc>
        <w:tcPr>
          <w:tcW w:w="3115" w:type="dxa"/>
        </w:tcPr>
        <w:p w:rsidR="00CA56D3" w:rsidRDefault="00CA56D3">
          <w:pPr>
            <w:pBdr>
              <w:top w:val="nil"/>
              <w:left w:val="nil"/>
              <w:bottom w:val="nil"/>
              <w:right w:val="nil"/>
              <w:between w:val="nil"/>
            </w:pBdr>
            <w:tabs>
              <w:tab w:val="center" w:pos="4252"/>
              <w:tab w:val="right" w:pos="8504"/>
            </w:tabs>
            <w:jc w:val="center"/>
            <w:rPr>
              <w:rFonts w:ascii="Calibri" w:eastAsia="Calibri" w:hAnsi="Calibri" w:cs="Calibri"/>
              <w:sz w:val="22"/>
              <w:szCs w:val="22"/>
            </w:rPr>
          </w:pPr>
        </w:p>
      </w:tc>
      <w:tc>
        <w:tcPr>
          <w:tcW w:w="3115" w:type="dxa"/>
        </w:tcPr>
        <w:p w:rsidR="00CA56D3" w:rsidRDefault="00CA56D3">
          <w:pPr>
            <w:pBdr>
              <w:top w:val="nil"/>
              <w:left w:val="nil"/>
              <w:bottom w:val="nil"/>
              <w:right w:val="nil"/>
              <w:between w:val="nil"/>
            </w:pBdr>
            <w:tabs>
              <w:tab w:val="center" w:pos="4252"/>
              <w:tab w:val="right" w:pos="8504"/>
            </w:tabs>
            <w:ind w:right="-115"/>
            <w:jc w:val="right"/>
            <w:rPr>
              <w:rFonts w:ascii="Calibri" w:eastAsia="Calibri" w:hAnsi="Calibri" w:cs="Calibri"/>
              <w:sz w:val="22"/>
              <w:szCs w:val="22"/>
            </w:rPr>
          </w:pPr>
        </w:p>
      </w:tc>
    </w:tr>
  </w:tbl>
  <w:p w:rsidR="00CA56D3" w:rsidRDefault="00CA56D3">
    <w:pPr>
      <w:pBdr>
        <w:top w:val="nil"/>
        <w:left w:val="nil"/>
        <w:bottom w:val="nil"/>
        <w:right w:val="nil"/>
        <w:between w:val="nil"/>
      </w:pBdr>
      <w:tabs>
        <w:tab w:val="center" w:pos="4252"/>
        <w:tab w:val="right" w:pos="8504"/>
      </w:tabs>
      <w:rPr>
        <w:rFonts w:ascii="Calibri" w:eastAsia="Calibri" w:hAnsi="Calibri" w:cs="Calibri"/>
        <w:color w:val="000000"/>
        <w:sz w:val="22"/>
        <w:szCs w:val="2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56D3" w:rsidRDefault="00CA56D3">
    <w:pPr>
      <w:pBdr>
        <w:top w:val="nil"/>
        <w:left w:val="nil"/>
        <w:bottom w:val="nil"/>
        <w:right w:val="nil"/>
        <w:between w:val="nil"/>
      </w:pBdr>
      <w:tabs>
        <w:tab w:val="left" w:pos="2820"/>
        <w:tab w:val="center" w:pos="4252"/>
        <w:tab w:val="right" w:pos="8504"/>
        <w:tab w:val="right" w:pos="9354"/>
      </w:tabs>
      <w:rPr>
        <w:rFonts w:ascii="Arial" w:eastAsia="Arial" w:hAnsi="Arial" w:cs="Arial"/>
        <w:color w:val="000000"/>
      </w:rPr>
    </w:pP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sidR="007337B1">
      <w:rPr>
        <w:rFonts w:ascii="Arial" w:eastAsia="Arial" w:hAnsi="Arial" w:cs="Arial"/>
        <w:noProof/>
        <w:color w:val="000000"/>
      </w:rPr>
      <w:t>57</w:t>
    </w:r>
    <w:r>
      <w:rPr>
        <w:rFonts w:ascii="Arial" w:eastAsia="Arial" w:hAnsi="Arial" w:cs="Arial"/>
        <w:color w:val="000000"/>
      </w:rPr>
      <w:fldChar w:fldCharType="end"/>
    </w:r>
  </w:p>
  <w:p w:rsidR="00CA56D3" w:rsidRDefault="00CA56D3">
    <w:pPr>
      <w:pBdr>
        <w:top w:val="nil"/>
        <w:left w:val="nil"/>
        <w:bottom w:val="nil"/>
        <w:right w:val="nil"/>
        <w:between w:val="nil"/>
      </w:pBdr>
      <w:tabs>
        <w:tab w:val="center" w:pos="4252"/>
        <w:tab w:val="right" w:pos="8504"/>
      </w:tabs>
      <w:rPr>
        <w:rFonts w:ascii="Guardian Egyp Thin" w:eastAsia="Guardian Egyp Thin" w:hAnsi="Guardian Egyp Thin" w:cs="Guardian Egyp Thin"/>
        <w:color w:val="000000"/>
        <w:sz w:val="22"/>
        <w:szCs w:val="22"/>
      </w:rPr>
    </w:pPr>
    <w:r>
      <w:rPr>
        <w:noProof/>
      </w:rPr>
      <w:drawing>
        <wp:anchor distT="0" distB="0" distL="0" distR="0" simplePos="0" relativeHeight="251660288" behindDoc="1" locked="0" layoutInCell="1" hidden="0" allowOverlap="1">
          <wp:simplePos x="0" y="0"/>
          <wp:positionH relativeFrom="column">
            <wp:posOffset>3810000</wp:posOffset>
          </wp:positionH>
          <wp:positionV relativeFrom="paragraph">
            <wp:posOffset>509269</wp:posOffset>
          </wp:positionV>
          <wp:extent cx="2192655" cy="562048"/>
          <wp:effectExtent l="0" t="0" r="0" b="0"/>
          <wp:wrapNone/>
          <wp:docPr id="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a:stretch>
                    <a:fillRect/>
                  </a:stretch>
                </pic:blipFill>
                <pic:spPr>
                  <a:xfrm>
                    <a:off x="0" y="0"/>
                    <a:ext cx="2192655" cy="562048"/>
                  </a:xfrm>
                  <a:prstGeom prst="rect">
                    <a:avLst/>
                  </a:prstGeom>
                  <a:ln/>
                </pic:spPr>
              </pic:pic>
            </a:graphicData>
          </a:graphic>
        </wp:anchor>
      </w:drawing>
    </w:r>
    <w:r>
      <w:rPr>
        <w:noProof/>
      </w:rPr>
      <mc:AlternateContent>
        <mc:Choice Requires="wps">
          <w:drawing>
            <wp:anchor distT="45720" distB="45720" distL="114300" distR="114300" simplePos="0" relativeHeight="251661312" behindDoc="0" locked="0" layoutInCell="1" hidden="0" allowOverlap="1">
              <wp:simplePos x="0" y="0"/>
              <wp:positionH relativeFrom="column">
                <wp:posOffset>-647699</wp:posOffset>
              </wp:positionH>
              <wp:positionV relativeFrom="paragraph">
                <wp:posOffset>502920</wp:posOffset>
              </wp:positionV>
              <wp:extent cx="2124075" cy="1423670"/>
              <wp:effectExtent l="0" t="0" r="0" b="0"/>
              <wp:wrapSquare wrapText="bothSides" distT="45720" distB="45720" distL="114300" distR="114300"/>
              <wp:docPr id="1603129977" name="Retângulo 1603129977"/>
              <wp:cNvGraphicFramePr/>
              <a:graphic xmlns:a="http://schemas.openxmlformats.org/drawingml/2006/main">
                <a:graphicData uri="http://schemas.microsoft.com/office/word/2010/wordprocessingShape">
                  <wps:wsp>
                    <wps:cNvSpPr/>
                    <wps:spPr>
                      <a:xfrm>
                        <a:off x="4293488" y="3077690"/>
                        <a:ext cx="2105025" cy="1404620"/>
                      </a:xfrm>
                      <a:prstGeom prst="rect">
                        <a:avLst/>
                      </a:prstGeom>
                      <a:noFill/>
                      <a:ln>
                        <a:noFill/>
                      </a:ln>
                    </wps:spPr>
                    <wps:txbx>
                      <w:txbxContent>
                        <w:p w:rsidR="00CA56D3" w:rsidRDefault="00CA56D3">
                          <w:pPr>
                            <w:textDirection w:val="btLr"/>
                          </w:pPr>
                          <w:r>
                            <w:rPr>
                              <w:rFonts w:ascii="Arial" w:eastAsia="Arial" w:hAnsi="Arial" w:cs="Arial"/>
                              <w:color w:val="1B335D"/>
                              <w:sz w:val="18"/>
                            </w:rPr>
                            <w:t>www.sema.am.gov.br</w:t>
                          </w:r>
                          <w:r>
                            <w:rPr>
                              <w:rFonts w:ascii="Arial" w:eastAsia="Arial" w:hAnsi="Arial" w:cs="Arial"/>
                              <w:color w:val="1B335D"/>
                              <w:sz w:val="18"/>
                            </w:rPr>
                            <w:br/>
                            <w:t>instagram: @semaamazonas</w:t>
                          </w:r>
                        </w:p>
                        <w:p w:rsidR="00CA56D3" w:rsidRDefault="00CA56D3">
                          <w:pPr>
                            <w:textDirection w:val="btLr"/>
                          </w:pPr>
                          <w:r>
                            <w:rPr>
                              <w:rFonts w:ascii="Arial" w:eastAsia="Arial" w:hAnsi="Arial" w:cs="Arial"/>
                              <w:color w:val="1B335D"/>
                              <w:sz w:val="18"/>
                            </w:rPr>
                            <w:t>youtube.com/semaamazonas</w:t>
                          </w:r>
                        </w:p>
                        <w:p w:rsidR="00CA56D3" w:rsidRDefault="00CA56D3">
                          <w:pPr>
                            <w:textDirection w:val="btLr"/>
                          </w:pPr>
                          <w:r>
                            <w:rPr>
                              <w:rFonts w:ascii="Arial" w:eastAsia="Arial" w:hAnsi="Arial" w:cs="Arial"/>
                              <w:color w:val="1B335D"/>
                              <w:sz w:val="18"/>
                            </w:rPr>
                            <w:t>facebook.com/sema.amazonas</w:t>
                          </w:r>
                        </w:p>
                      </w:txbxContent>
                    </wps:txbx>
                    <wps:bodyPr spcFirstLastPara="1" wrap="square" lIns="91425" tIns="45700" rIns="91425" bIns="45700" anchor="t" anchorCtr="0">
                      <a:noAutofit/>
                    </wps:bodyPr>
                  </wps:wsp>
                </a:graphicData>
              </a:graphic>
            </wp:anchor>
          </w:drawing>
        </mc:Choice>
        <mc:Fallback>
          <w:pict>
            <v:rect id="_x0000_s1036" style="position:absolute;margin-left:-51pt;margin-top:39.6pt;width:167.25pt;height:112.1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" filled="f" stroked="f">
              <v:textbox inset="2.53958mm,1.2694mm,2.53958mm,1.2694mm">
                <w:txbxContent>
                  <w:p w:rsidR="00033571" w:rsidRDefault="00033571">
                    <w:pPr>
                      <w:textDirection w:val="btLr"/>
                    </w:pPr>
                    <w:r>
                      <w:rPr>
                        <w:rFonts w:ascii="Arial" w:eastAsia="Arial" w:hAnsi="Arial" w:cs="Arial"/>
                        <w:color w:val="1B335D"/>
                        <w:sz w:val="18"/>
                      </w:rPr>
                      <w:t>www.sema.am.gov.br</w:t>
                    </w:r>
                    <w:r>
                      <w:rPr>
                        <w:rFonts w:ascii="Arial" w:eastAsia="Arial" w:hAnsi="Arial" w:cs="Arial"/>
                        <w:color w:val="1B335D"/>
                        <w:sz w:val="18"/>
                      </w:rPr>
                      <w:br/>
                      <w:t>instagram: @semaamazonas</w:t>
                    </w:r>
                  </w:p>
                  <w:p w:rsidR="00033571" w:rsidRDefault="00033571">
                    <w:pPr>
                      <w:textDirection w:val="btLr"/>
                    </w:pPr>
                    <w:r>
                      <w:rPr>
                        <w:rFonts w:ascii="Arial" w:eastAsia="Arial" w:hAnsi="Arial" w:cs="Arial"/>
                        <w:color w:val="1B335D"/>
                        <w:sz w:val="18"/>
                      </w:rPr>
                      <w:t>youtube.com/semaamazonas</w:t>
                    </w:r>
                  </w:p>
                  <w:p w:rsidR="00033571" w:rsidRDefault="00033571">
                    <w:pPr>
                      <w:textDirection w:val="btLr"/>
                    </w:pPr>
                    <w:r>
                      <w:rPr>
                        <w:rFonts w:ascii="Arial" w:eastAsia="Arial" w:hAnsi="Arial" w:cs="Arial"/>
                        <w:color w:val="1B335D"/>
                        <w:sz w:val="18"/>
                      </w:rPr>
                      <w:t>facebook.com/sema.amazonas</w:t>
                    </w:r>
                  </w:p>
                </w:txbxContent>
              </v:textbox>
              <w10:wrap type="square"/>
            </v:rect>
          </w:pict>
        </mc:Fallback>
      </mc:AlternateContent>
    </w:r>
    <w:r>
      <w:rPr>
        <w:noProof/>
      </w:rPr>
      <mc:AlternateContent>
        <mc:Choice Requires="wps">
          <w:drawing>
            <wp:anchor distT="45720" distB="45720" distL="114300" distR="114300" simplePos="0" relativeHeight="251662336" behindDoc="0" locked="0" layoutInCell="1" hidden="0" allowOverlap="1">
              <wp:simplePos x="0" y="0"/>
              <wp:positionH relativeFrom="column">
                <wp:posOffset>1651000</wp:posOffset>
              </wp:positionH>
              <wp:positionV relativeFrom="paragraph">
                <wp:posOffset>439420</wp:posOffset>
              </wp:positionV>
              <wp:extent cx="1952625" cy="800100"/>
              <wp:effectExtent l="0" t="0" r="0" b="0"/>
              <wp:wrapSquare wrapText="bothSides" distT="45720" distB="45720" distL="114300" distR="114300"/>
              <wp:docPr id="1603129976" name="Retângulo 1603129976"/>
              <wp:cNvGraphicFramePr/>
              <a:graphic xmlns:a="http://schemas.openxmlformats.org/drawingml/2006/main">
                <a:graphicData uri="http://schemas.microsoft.com/office/word/2010/wordprocessingShape">
                  <wps:wsp>
                    <wps:cNvSpPr/>
                    <wps:spPr>
                      <a:xfrm>
                        <a:off x="4379213" y="3389475"/>
                        <a:ext cx="1933575" cy="781050"/>
                      </a:xfrm>
                      <a:prstGeom prst="rect">
                        <a:avLst/>
                      </a:prstGeom>
                      <a:noFill/>
                      <a:ln>
                        <a:noFill/>
                      </a:ln>
                    </wps:spPr>
                    <wps:txbx>
                      <w:txbxContent>
                        <w:p w:rsidR="00CA56D3" w:rsidRDefault="00CA56D3">
                          <w:pPr>
                            <w:textDirection w:val="btLr"/>
                          </w:pPr>
                          <w:r>
                            <w:rPr>
                              <w:rFonts w:ascii="Arial" w:eastAsia="Arial" w:hAnsi="Arial" w:cs="Arial"/>
                              <w:color w:val="1B335D"/>
                              <w:sz w:val="18"/>
                            </w:rPr>
                            <w:t>protocolo@sema.am.gov.br</w:t>
                          </w:r>
                          <w:r>
                            <w:rPr>
                              <w:rFonts w:ascii="Arial" w:eastAsia="Arial" w:hAnsi="Arial" w:cs="Arial"/>
                              <w:color w:val="1B335D"/>
                              <w:sz w:val="18"/>
                            </w:rPr>
                            <w:br/>
                            <w:t>Fone:(92) 3659-1822</w:t>
                          </w:r>
                        </w:p>
                        <w:p w:rsidR="00CA56D3" w:rsidRDefault="00CA56D3">
                          <w:pPr>
                            <w:textDirection w:val="btLr"/>
                          </w:pPr>
                          <w:r>
                            <w:rPr>
                              <w:rFonts w:ascii="Arial" w:eastAsia="Arial" w:hAnsi="Arial" w:cs="Arial"/>
                              <w:color w:val="1B335D"/>
                              <w:sz w:val="18"/>
                            </w:rPr>
                            <w:t>Av. Mário Ypiranga, 3280 – Parque 10 – Manaus/AM</w:t>
                          </w:r>
                        </w:p>
                        <w:p w:rsidR="00CA56D3" w:rsidRDefault="00CA56D3">
                          <w:pPr>
                            <w:textDirection w:val="btLr"/>
                          </w:pPr>
                          <w:r>
                            <w:rPr>
                              <w:rFonts w:ascii="Arial" w:eastAsia="Arial" w:hAnsi="Arial" w:cs="Arial"/>
                              <w:color w:val="1B335D"/>
                              <w:sz w:val="18"/>
                            </w:rPr>
                            <w:t>CEP: 69050-030</w:t>
                          </w:r>
                        </w:p>
                      </w:txbxContent>
                    </wps:txbx>
                    <wps:bodyPr spcFirstLastPara="1" wrap="square" lIns="91425" tIns="45700" rIns="91425" bIns="45700" anchor="t" anchorCtr="0">
                      <a:noAutofit/>
                    </wps:bodyPr>
                  </wps:wsp>
                </a:graphicData>
              </a:graphic>
            </wp:anchor>
          </w:drawing>
        </mc:Choice>
        <mc:Fallback>
          <w:pict>
            <v:rect id="_x0000_s1037" style="position:absolute;margin-left:130pt;margin-top:34.6pt;width:153.75pt;height:63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" filled="f" stroked="f">
              <v:textbox inset="2.53958mm,1.2694mm,2.53958mm,1.2694mm">
                <w:txbxContent>
                  <w:p w:rsidR="00033571" w:rsidRDefault="00033571">
                    <w:pPr>
                      <w:textDirection w:val="btLr"/>
                    </w:pPr>
                    <w:r>
                      <w:rPr>
                        <w:rFonts w:ascii="Arial" w:eastAsia="Arial" w:hAnsi="Arial" w:cs="Arial"/>
                        <w:color w:val="1B335D"/>
                        <w:sz w:val="18"/>
                      </w:rPr>
                      <w:t>protocolo@sema.am.gov.br</w:t>
                    </w:r>
                    <w:r>
                      <w:rPr>
                        <w:rFonts w:ascii="Arial" w:eastAsia="Arial" w:hAnsi="Arial" w:cs="Arial"/>
                        <w:color w:val="1B335D"/>
                        <w:sz w:val="18"/>
                      </w:rPr>
                      <w:br/>
                      <w:t>Fone:(92) 3659-1822</w:t>
                    </w:r>
                  </w:p>
                  <w:p w:rsidR="00033571" w:rsidRDefault="00033571">
                    <w:pPr>
                      <w:textDirection w:val="btLr"/>
                    </w:pPr>
                    <w:r>
                      <w:rPr>
                        <w:rFonts w:ascii="Arial" w:eastAsia="Arial" w:hAnsi="Arial" w:cs="Arial"/>
                        <w:color w:val="1B335D"/>
                        <w:sz w:val="18"/>
                      </w:rPr>
                      <w:t>Av. Mário Ypiranga, 3280 – Parque 10 – Manaus/AM</w:t>
                    </w:r>
                  </w:p>
                  <w:p w:rsidR="00033571" w:rsidRDefault="00033571">
                    <w:pPr>
                      <w:textDirection w:val="btLr"/>
                    </w:pPr>
                    <w:r>
                      <w:rPr>
                        <w:rFonts w:ascii="Arial" w:eastAsia="Arial" w:hAnsi="Arial" w:cs="Arial"/>
                        <w:color w:val="1B335D"/>
                        <w:sz w:val="18"/>
                      </w:rPr>
                      <w:t>CEP: 69050-030</w:t>
                    </w:r>
                  </w:p>
                </w:txbxContent>
              </v:textbox>
              <w10:wrap type="squar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48A6" w:rsidRDefault="003E48A6">
      <w:r>
        <w:separator/>
      </w:r>
    </w:p>
  </w:footnote>
  <w:footnote w:type="continuationSeparator" w:id="0">
    <w:p w:rsidR="003E48A6" w:rsidRDefault="003E48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56D3" w:rsidRDefault="00CA56D3">
    <w:pPr>
      <w:pBdr>
        <w:top w:val="nil"/>
        <w:left w:val="nil"/>
        <w:bottom w:val="nil"/>
        <w:right w:val="nil"/>
        <w:between w:val="nil"/>
      </w:pBdr>
      <w:tabs>
        <w:tab w:val="center" w:pos="4252"/>
        <w:tab w:val="right" w:pos="8504"/>
      </w:tabs>
      <w:jc w:val="center"/>
      <w:rPr>
        <w:rFonts w:ascii="Calibri" w:eastAsia="Calibri" w:hAnsi="Calibri" w:cs="Calibri"/>
        <w:color w:val="000000"/>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56D3" w:rsidRDefault="00CA56D3">
    <w:pPr>
      <w:widowControl w:val="0"/>
      <w:pBdr>
        <w:top w:val="nil"/>
        <w:left w:val="nil"/>
        <w:bottom w:val="nil"/>
        <w:right w:val="nil"/>
        <w:between w:val="nil"/>
      </w:pBdr>
      <w:spacing w:line="276" w:lineRule="auto"/>
      <w:rPr>
        <w:rFonts w:ascii="Arial" w:eastAsia="Arial" w:hAnsi="Arial" w:cs="Arial"/>
      </w:rPr>
    </w:pPr>
  </w:p>
  <w:tbl>
    <w:tblPr>
      <w:tblStyle w:val="aa"/>
      <w:tblW w:w="9345" w:type="dxa"/>
      <w:tblInd w:w="-3"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000000"/>
      </w:tblBorders>
      <w:tblLayout w:type="fixed"/>
      <w:tblLook w:val="0600" w:firstRow="0" w:lastRow="0" w:firstColumn="0" w:lastColumn="0" w:noHBand="1" w:noVBand="1"/>
    </w:tblPr>
    <w:tblGrid>
      <w:gridCol w:w="3115"/>
      <w:gridCol w:w="3115"/>
      <w:gridCol w:w="3115"/>
    </w:tblGrid>
    <w:tr w:rsidR="00CA56D3">
      <w:trPr>
        <w:trHeight w:val="300"/>
      </w:trPr>
      <w:tc>
        <w:tcPr>
          <w:tcW w:w="3115" w:type="dxa"/>
        </w:tcPr>
        <w:p w:rsidR="00CA56D3" w:rsidRDefault="00CA56D3">
          <w:pPr>
            <w:pBdr>
              <w:top w:val="nil"/>
              <w:left w:val="nil"/>
              <w:bottom w:val="nil"/>
              <w:right w:val="nil"/>
              <w:between w:val="nil"/>
            </w:pBdr>
            <w:tabs>
              <w:tab w:val="center" w:pos="4252"/>
              <w:tab w:val="right" w:pos="8504"/>
            </w:tabs>
            <w:ind w:left="-115"/>
            <w:rPr>
              <w:rFonts w:ascii="Calibri" w:eastAsia="Calibri" w:hAnsi="Calibri" w:cs="Calibri"/>
              <w:sz w:val="22"/>
              <w:szCs w:val="22"/>
            </w:rPr>
          </w:pPr>
        </w:p>
      </w:tc>
      <w:tc>
        <w:tcPr>
          <w:tcW w:w="3115" w:type="dxa"/>
        </w:tcPr>
        <w:p w:rsidR="00CA56D3" w:rsidRDefault="00CA56D3">
          <w:pPr>
            <w:pBdr>
              <w:top w:val="nil"/>
              <w:left w:val="nil"/>
              <w:bottom w:val="nil"/>
              <w:right w:val="nil"/>
              <w:between w:val="nil"/>
            </w:pBdr>
            <w:tabs>
              <w:tab w:val="center" w:pos="4252"/>
              <w:tab w:val="right" w:pos="8504"/>
            </w:tabs>
            <w:jc w:val="center"/>
            <w:rPr>
              <w:rFonts w:ascii="Calibri" w:eastAsia="Calibri" w:hAnsi="Calibri" w:cs="Calibri"/>
              <w:sz w:val="22"/>
              <w:szCs w:val="22"/>
            </w:rPr>
          </w:pPr>
        </w:p>
      </w:tc>
      <w:tc>
        <w:tcPr>
          <w:tcW w:w="3115" w:type="dxa"/>
        </w:tcPr>
        <w:p w:rsidR="00CA56D3" w:rsidRDefault="00CA56D3">
          <w:pPr>
            <w:pBdr>
              <w:top w:val="nil"/>
              <w:left w:val="nil"/>
              <w:bottom w:val="nil"/>
              <w:right w:val="nil"/>
              <w:between w:val="nil"/>
            </w:pBdr>
            <w:tabs>
              <w:tab w:val="center" w:pos="4252"/>
              <w:tab w:val="right" w:pos="8504"/>
            </w:tabs>
            <w:ind w:right="-115"/>
            <w:jc w:val="right"/>
            <w:rPr>
              <w:rFonts w:ascii="Calibri" w:eastAsia="Calibri" w:hAnsi="Calibri" w:cs="Calibri"/>
              <w:sz w:val="22"/>
              <w:szCs w:val="22"/>
            </w:rPr>
          </w:pPr>
        </w:p>
      </w:tc>
    </w:tr>
  </w:tbl>
  <w:p w:rsidR="00CA56D3" w:rsidRDefault="00CA56D3">
    <w:pPr>
      <w:pBdr>
        <w:top w:val="nil"/>
        <w:left w:val="nil"/>
        <w:bottom w:val="nil"/>
        <w:right w:val="nil"/>
        <w:between w:val="nil"/>
      </w:pBdr>
      <w:tabs>
        <w:tab w:val="center" w:pos="4252"/>
        <w:tab w:val="right" w:pos="8504"/>
      </w:tabs>
      <w:rPr>
        <w:rFonts w:ascii="Calibri" w:eastAsia="Calibri" w:hAnsi="Calibri" w:cs="Calibri"/>
        <w:color w:val="000000"/>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56D3" w:rsidRDefault="00CA56D3">
    <w:pPr>
      <w:pBdr>
        <w:top w:val="nil"/>
        <w:left w:val="nil"/>
        <w:bottom w:val="nil"/>
        <w:right w:val="nil"/>
        <w:between w:val="nil"/>
      </w:pBdr>
      <w:tabs>
        <w:tab w:val="center" w:pos="4252"/>
        <w:tab w:val="right" w:pos="8504"/>
      </w:tabs>
      <w:jc w:val="center"/>
      <w:rPr>
        <w:rFonts w:ascii="Calibri" w:eastAsia="Calibri" w:hAnsi="Calibri" w:cs="Calibri"/>
        <w:color w:val="000000"/>
        <w:sz w:val="22"/>
        <w:szCs w:val="22"/>
      </w:rPr>
    </w:pPr>
    <w:r>
      <w:rPr>
        <w:noProof/>
      </w:rPr>
      <w:drawing>
        <wp:anchor distT="0" distB="0" distL="0" distR="0" simplePos="0" relativeHeight="251659264" behindDoc="1" locked="0" layoutInCell="1" hidden="0" allowOverlap="1">
          <wp:simplePos x="0" y="0"/>
          <wp:positionH relativeFrom="column">
            <wp:posOffset>-1266510</wp:posOffset>
          </wp:positionH>
          <wp:positionV relativeFrom="paragraph">
            <wp:posOffset>-608963</wp:posOffset>
          </wp:positionV>
          <wp:extent cx="7742877" cy="10948742"/>
          <wp:effectExtent l="0" t="0" r="0" b="0"/>
          <wp:wrapNone/>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42877" cy="10948742"/>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657DE"/>
    <w:multiLevelType w:val="multilevel"/>
    <w:tmpl w:val="2F3A536E"/>
    <w:lvl w:ilvl="0">
      <w:start w:val="1"/>
      <w:numFmt w:val="lowerLetter"/>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 w15:restartNumberingAfterBreak="0">
    <w:nsid w:val="2374524E"/>
    <w:multiLevelType w:val="multilevel"/>
    <w:tmpl w:val="8942120E"/>
    <w:lvl w:ilvl="0">
      <w:start w:val="1"/>
      <w:numFmt w:val="decimal"/>
      <w:lvlText w:val="%1."/>
      <w:lvlJc w:val="right"/>
      <w:pPr>
        <w:ind w:left="1069" w:hanging="360"/>
      </w:pPr>
      <w:rPr>
        <w:rFonts w:ascii="Arial" w:eastAsia="Arial" w:hAnsi="Arial" w:cs="Arial"/>
      </w:rPr>
    </w:lvl>
    <w:lvl w:ilvl="1">
      <w:start w:val="1"/>
      <w:numFmt w:val="decimal"/>
      <w:lvlText w:val="%1.%2."/>
      <w:lvlJc w:val="right"/>
      <w:pPr>
        <w:ind w:left="1789" w:hanging="360"/>
      </w:pPr>
    </w:lvl>
    <w:lvl w:ilvl="2">
      <w:start w:val="1"/>
      <w:numFmt w:val="decimal"/>
      <w:lvlText w:val="%1.%2.%3."/>
      <w:lvlJc w:val="right"/>
      <w:pPr>
        <w:ind w:left="2509" w:hanging="180"/>
      </w:pPr>
    </w:lvl>
    <w:lvl w:ilvl="3">
      <w:start w:val="1"/>
      <w:numFmt w:val="decimal"/>
      <w:lvlText w:val="%1.%2.%3.%4."/>
      <w:lvlJc w:val="right"/>
      <w:pPr>
        <w:ind w:left="3229" w:hanging="360"/>
      </w:pPr>
    </w:lvl>
    <w:lvl w:ilvl="4">
      <w:start w:val="1"/>
      <w:numFmt w:val="decimal"/>
      <w:lvlText w:val="%1.%2.%3.%4.%5."/>
      <w:lvlJc w:val="right"/>
      <w:pPr>
        <w:ind w:left="3949" w:hanging="360"/>
      </w:pPr>
    </w:lvl>
    <w:lvl w:ilvl="5">
      <w:start w:val="1"/>
      <w:numFmt w:val="decimal"/>
      <w:lvlText w:val="%1.%2.%3.%4.%5.%6."/>
      <w:lvlJc w:val="right"/>
      <w:pPr>
        <w:ind w:left="4669" w:hanging="180"/>
      </w:pPr>
    </w:lvl>
    <w:lvl w:ilvl="6">
      <w:start w:val="1"/>
      <w:numFmt w:val="decimal"/>
      <w:lvlText w:val="%1.%2.%3.%4.%5.%6.%7."/>
      <w:lvlJc w:val="right"/>
      <w:pPr>
        <w:ind w:left="5389" w:hanging="360"/>
      </w:pPr>
    </w:lvl>
    <w:lvl w:ilvl="7">
      <w:start w:val="1"/>
      <w:numFmt w:val="decimal"/>
      <w:lvlText w:val="%1.%2.%3.%4.%5.%6.%7.%8."/>
      <w:lvlJc w:val="right"/>
      <w:pPr>
        <w:ind w:left="6109" w:hanging="360"/>
      </w:pPr>
    </w:lvl>
    <w:lvl w:ilvl="8">
      <w:start w:val="1"/>
      <w:numFmt w:val="decimal"/>
      <w:lvlText w:val="%1.%2.%3.%4.%5.%6.%7.%8.%9."/>
      <w:lvlJc w:val="right"/>
      <w:pPr>
        <w:ind w:left="6829" w:hanging="180"/>
      </w:pPr>
    </w:lvl>
  </w:abstractNum>
  <w:abstractNum w:abstractNumId="2" w15:restartNumberingAfterBreak="0">
    <w:nsid w:val="48DC5AB9"/>
    <w:multiLevelType w:val="multilevel"/>
    <w:tmpl w:val="5D88C258"/>
    <w:lvl w:ilvl="0">
      <w:start w:val="8"/>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 w15:restartNumberingAfterBreak="0">
    <w:nsid w:val="4ED15EEE"/>
    <w:multiLevelType w:val="multilevel"/>
    <w:tmpl w:val="1E6C7DE8"/>
    <w:lvl w:ilvl="0">
      <w:start w:val="5"/>
      <w:numFmt w:val="decimal"/>
      <w:lvlText w:val="%1."/>
      <w:lvlJc w:val="left"/>
      <w:pPr>
        <w:ind w:left="720" w:hanging="720"/>
      </w:pPr>
    </w:lvl>
    <w:lvl w:ilvl="1">
      <w:start w:val="1"/>
      <w:numFmt w:val="decimal"/>
      <w:lvlText w:val="%1.%2."/>
      <w:lvlJc w:val="left"/>
      <w:pPr>
        <w:ind w:left="1074" w:hanging="720"/>
      </w:pPr>
    </w:lvl>
    <w:lvl w:ilvl="2">
      <w:start w:val="1"/>
      <w:numFmt w:val="decimal"/>
      <w:lvlText w:val="%1.%2.%3."/>
      <w:lvlJc w:val="left"/>
      <w:pPr>
        <w:ind w:left="1428" w:hanging="719"/>
      </w:pPr>
    </w:lvl>
    <w:lvl w:ilvl="3">
      <w:start w:val="1"/>
      <w:numFmt w:val="decimal"/>
      <w:lvlText w:val="%1.%2.%3.%4."/>
      <w:lvlJc w:val="left"/>
      <w:pPr>
        <w:ind w:left="2142" w:hanging="1080"/>
      </w:pPr>
    </w:lvl>
    <w:lvl w:ilvl="4">
      <w:start w:val="1"/>
      <w:numFmt w:val="decimal"/>
      <w:lvlText w:val="%1.%2.%3.%4.%5."/>
      <w:lvlJc w:val="left"/>
      <w:pPr>
        <w:ind w:left="2856" w:hanging="1439"/>
      </w:pPr>
    </w:lvl>
    <w:lvl w:ilvl="5">
      <w:start w:val="1"/>
      <w:numFmt w:val="decimal"/>
      <w:lvlText w:val="%1.%2.%3.%4.%5.%6."/>
      <w:lvlJc w:val="left"/>
      <w:pPr>
        <w:ind w:left="3210" w:hanging="1440"/>
      </w:pPr>
    </w:lvl>
    <w:lvl w:ilvl="6">
      <w:start w:val="1"/>
      <w:numFmt w:val="decimal"/>
      <w:lvlText w:val="%1.%2.%3.%4.%5.%6.%7."/>
      <w:lvlJc w:val="left"/>
      <w:pPr>
        <w:ind w:left="3924" w:hanging="1800"/>
      </w:pPr>
    </w:lvl>
    <w:lvl w:ilvl="7">
      <w:start w:val="1"/>
      <w:numFmt w:val="decimal"/>
      <w:lvlText w:val="%1.%2.%3.%4.%5.%6.%7.%8."/>
      <w:lvlJc w:val="left"/>
      <w:pPr>
        <w:ind w:left="4638" w:hanging="2160"/>
      </w:pPr>
    </w:lvl>
    <w:lvl w:ilvl="8">
      <w:start w:val="1"/>
      <w:numFmt w:val="decimal"/>
      <w:lvlText w:val="%1.%2.%3.%4.%5.%6.%7.%8.%9."/>
      <w:lvlJc w:val="left"/>
      <w:pPr>
        <w:ind w:left="4992" w:hanging="2160"/>
      </w:pPr>
    </w:lvl>
  </w:abstractNum>
  <w:abstractNum w:abstractNumId="4" w15:restartNumberingAfterBreak="0">
    <w:nsid w:val="529D1AF3"/>
    <w:multiLevelType w:val="multilevel"/>
    <w:tmpl w:val="11FC476E"/>
    <w:lvl w:ilvl="0">
      <w:start w:val="3"/>
      <w:numFmt w:val="decimal"/>
      <w:lvlText w:val="%1."/>
      <w:lvlJc w:val="left"/>
      <w:pPr>
        <w:ind w:left="480" w:hanging="480"/>
      </w:pPr>
    </w:lvl>
    <w:lvl w:ilvl="1">
      <w:start w:val="4"/>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4276" w:hanging="144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7123" w:hanging="2160"/>
      </w:pPr>
    </w:lvl>
    <w:lvl w:ilvl="8">
      <w:start w:val="1"/>
      <w:numFmt w:val="decimal"/>
      <w:lvlText w:val="%1.%2.%3.%4.%5.%6.%7.%8.%9."/>
      <w:lvlJc w:val="left"/>
      <w:pPr>
        <w:ind w:left="7832" w:hanging="2160"/>
      </w:pPr>
    </w:lvl>
  </w:abstractNum>
  <w:abstractNum w:abstractNumId="5" w15:restartNumberingAfterBreak="0">
    <w:nsid w:val="5C8F196B"/>
    <w:multiLevelType w:val="multilevel"/>
    <w:tmpl w:val="9A400C08"/>
    <w:lvl w:ilvl="0">
      <w:start w:val="1"/>
      <w:numFmt w:val="lowerLetter"/>
      <w:lvlText w:val="%1."/>
      <w:lvlJc w:val="left"/>
      <w:pPr>
        <w:ind w:left="1571" w:hanging="360"/>
      </w:pPr>
      <w:rPr>
        <w:rFonts w:ascii="Arial" w:eastAsia="Arial" w:hAnsi="Arial" w:cs="Arial"/>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6B2110A9"/>
    <w:multiLevelType w:val="multilevel"/>
    <w:tmpl w:val="AB4AAE3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726C7782"/>
    <w:multiLevelType w:val="multilevel"/>
    <w:tmpl w:val="04F0EDBC"/>
    <w:lvl w:ilvl="0">
      <w:start w:val="1"/>
      <w:numFmt w:val="low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15:restartNumberingAfterBreak="0">
    <w:nsid w:val="77485F04"/>
    <w:multiLevelType w:val="multilevel"/>
    <w:tmpl w:val="CC1E4C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5"/>
  </w:num>
  <w:num w:numId="2">
    <w:abstractNumId w:val="7"/>
  </w:num>
  <w:num w:numId="3">
    <w:abstractNumId w:val="6"/>
  </w:num>
  <w:num w:numId="4">
    <w:abstractNumId w:val="4"/>
  </w:num>
  <w:num w:numId="5">
    <w:abstractNumId w:val="3"/>
  </w:num>
  <w:num w:numId="6">
    <w:abstractNumId w:val="2"/>
  </w:num>
  <w:num w:numId="7">
    <w:abstractNumId w:val="1"/>
  </w:num>
  <w:num w:numId="8">
    <w:abstractNumId w:val="8"/>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C6D"/>
    <w:rsid w:val="00033571"/>
    <w:rsid w:val="00037ED2"/>
    <w:rsid w:val="00074475"/>
    <w:rsid w:val="00085563"/>
    <w:rsid w:val="000C18DB"/>
    <w:rsid w:val="000C2FC3"/>
    <w:rsid w:val="000D3E6B"/>
    <w:rsid w:val="000E2122"/>
    <w:rsid w:val="000E369B"/>
    <w:rsid w:val="000E7AC8"/>
    <w:rsid w:val="000F2698"/>
    <w:rsid w:val="001134B6"/>
    <w:rsid w:val="00117729"/>
    <w:rsid w:val="00140EE9"/>
    <w:rsid w:val="00165A52"/>
    <w:rsid w:val="00170F9D"/>
    <w:rsid w:val="001C63D3"/>
    <w:rsid w:val="001D6F1B"/>
    <w:rsid w:val="00206B69"/>
    <w:rsid w:val="00222F5E"/>
    <w:rsid w:val="00230086"/>
    <w:rsid w:val="0024589B"/>
    <w:rsid w:val="002B7C6D"/>
    <w:rsid w:val="002C28E9"/>
    <w:rsid w:val="003602BC"/>
    <w:rsid w:val="00364B4A"/>
    <w:rsid w:val="003C5CA0"/>
    <w:rsid w:val="003D3CF3"/>
    <w:rsid w:val="003E48A6"/>
    <w:rsid w:val="004433E1"/>
    <w:rsid w:val="00454674"/>
    <w:rsid w:val="0045540F"/>
    <w:rsid w:val="00455C35"/>
    <w:rsid w:val="0047527C"/>
    <w:rsid w:val="004847DB"/>
    <w:rsid w:val="004A352A"/>
    <w:rsid w:val="004B2CA5"/>
    <w:rsid w:val="004E7A03"/>
    <w:rsid w:val="0051509C"/>
    <w:rsid w:val="005762DA"/>
    <w:rsid w:val="005960D6"/>
    <w:rsid w:val="00675F69"/>
    <w:rsid w:val="006C3041"/>
    <w:rsid w:val="006C7732"/>
    <w:rsid w:val="006E1320"/>
    <w:rsid w:val="007337B1"/>
    <w:rsid w:val="00782C32"/>
    <w:rsid w:val="00793056"/>
    <w:rsid w:val="007A345C"/>
    <w:rsid w:val="007D5D2E"/>
    <w:rsid w:val="008061AD"/>
    <w:rsid w:val="0081368D"/>
    <w:rsid w:val="00821D73"/>
    <w:rsid w:val="0083643D"/>
    <w:rsid w:val="008B729A"/>
    <w:rsid w:val="008E01A5"/>
    <w:rsid w:val="009247C4"/>
    <w:rsid w:val="009477FC"/>
    <w:rsid w:val="009A51D6"/>
    <w:rsid w:val="009A77EA"/>
    <w:rsid w:val="00A143AE"/>
    <w:rsid w:val="00A257B5"/>
    <w:rsid w:val="00A31A14"/>
    <w:rsid w:val="00A86193"/>
    <w:rsid w:val="00A865FC"/>
    <w:rsid w:val="00AA42B5"/>
    <w:rsid w:val="00AD3C9C"/>
    <w:rsid w:val="00AD4EDB"/>
    <w:rsid w:val="00B55C5D"/>
    <w:rsid w:val="00C24974"/>
    <w:rsid w:val="00C32770"/>
    <w:rsid w:val="00C81FEE"/>
    <w:rsid w:val="00C9203B"/>
    <w:rsid w:val="00CA56D3"/>
    <w:rsid w:val="00CB1D0C"/>
    <w:rsid w:val="00CC0201"/>
    <w:rsid w:val="00CD140E"/>
    <w:rsid w:val="00D42023"/>
    <w:rsid w:val="00D42779"/>
    <w:rsid w:val="00D64253"/>
    <w:rsid w:val="00D720F5"/>
    <w:rsid w:val="00D817A4"/>
    <w:rsid w:val="00E00BC0"/>
    <w:rsid w:val="00E43B26"/>
    <w:rsid w:val="00E75F7D"/>
    <w:rsid w:val="00E8540E"/>
    <w:rsid w:val="00EC66C0"/>
    <w:rsid w:val="00ED1DD5"/>
    <w:rsid w:val="00F1174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19A6B8"/>
  <w15:docId w15:val="{341F0726-B350-4901-A50A-B3A98F0E8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D7345"/>
  </w:style>
  <w:style w:type="paragraph" w:styleId="Ttulo1">
    <w:name w:val="heading 1"/>
    <w:basedOn w:val="Normal"/>
    <w:next w:val="Normal"/>
    <w:link w:val="Ttulo1Char"/>
    <w:uiPriority w:val="9"/>
    <w:qFormat/>
    <w:rsid w:val="0033513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har"/>
    <w:uiPriority w:val="9"/>
    <w:unhideWhenUsed/>
    <w:qFormat/>
    <w:rsid w:val="0033513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har"/>
    <w:uiPriority w:val="9"/>
    <w:unhideWhenUsed/>
    <w:qFormat/>
    <w:rsid w:val="00335136"/>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har"/>
    <w:uiPriority w:val="9"/>
    <w:unhideWhenUsed/>
    <w:qFormat/>
    <w:rsid w:val="00EE7967"/>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NormalTable0">
    <w:name w:val="Normal Table0"/>
    <w:tblPr>
      <w:tblCellMar>
        <w:top w:w="0" w:type="dxa"/>
        <w:left w:w="0" w:type="dxa"/>
        <w:bottom w:w="0" w:type="dxa"/>
        <w:right w:w="0" w:type="dxa"/>
      </w:tblCellMar>
    </w:tblPr>
  </w:style>
  <w:style w:type="paragraph" w:styleId="Cabealho">
    <w:name w:val="header"/>
    <w:basedOn w:val="Normal"/>
    <w:link w:val="CabealhoChar"/>
    <w:uiPriority w:val="99"/>
    <w:unhideWhenUsed/>
    <w:rsid w:val="00A811CC"/>
    <w:pPr>
      <w:tabs>
        <w:tab w:val="center" w:pos="4252"/>
        <w:tab w:val="right" w:pos="8504"/>
      </w:tabs>
    </w:pPr>
    <w:rPr>
      <w:rFonts w:asciiTheme="minorHAnsi" w:eastAsiaTheme="minorHAnsi" w:hAnsiTheme="minorHAnsi" w:cstheme="minorBidi"/>
      <w:sz w:val="22"/>
      <w:szCs w:val="22"/>
      <w:lang w:eastAsia="en-US"/>
    </w:rPr>
  </w:style>
  <w:style w:type="character" w:customStyle="1" w:styleId="CabealhoChar">
    <w:name w:val="Cabeçalho Char"/>
    <w:basedOn w:val="Fontepargpadro"/>
    <w:link w:val="Cabealho"/>
    <w:uiPriority w:val="99"/>
    <w:rsid w:val="00A811CC"/>
  </w:style>
  <w:style w:type="paragraph" w:styleId="Rodap">
    <w:name w:val="footer"/>
    <w:basedOn w:val="Normal"/>
    <w:link w:val="RodapChar"/>
    <w:uiPriority w:val="99"/>
    <w:unhideWhenUsed/>
    <w:rsid w:val="00A811CC"/>
    <w:pPr>
      <w:tabs>
        <w:tab w:val="center" w:pos="4252"/>
        <w:tab w:val="right" w:pos="8504"/>
      </w:tabs>
    </w:pPr>
    <w:rPr>
      <w:rFonts w:asciiTheme="minorHAnsi" w:eastAsiaTheme="minorHAnsi" w:hAnsiTheme="minorHAnsi" w:cstheme="minorBidi"/>
      <w:sz w:val="22"/>
      <w:szCs w:val="22"/>
      <w:lang w:eastAsia="en-US"/>
    </w:rPr>
  </w:style>
  <w:style w:type="character" w:customStyle="1" w:styleId="RodapChar">
    <w:name w:val="Rodapé Char"/>
    <w:basedOn w:val="Fontepargpadro"/>
    <w:link w:val="Rodap"/>
    <w:uiPriority w:val="99"/>
    <w:rsid w:val="00A811CC"/>
  </w:style>
  <w:style w:type="paragraph" w:customStyle="1" w:styleId="Default">
    <w:name w:val="Default"/>
    <w:rsid w:val="00A811CC"/>
    <w:pPr>
      <w:autoSpaceDE w:val="0"/>
      <w:autoSpaceDN w:val="0"/>
      <w:adjustRightInd w:val="0"/>
    </w:pPr>
    <w:rPr>
      <w:rFonts w:ascii="Novecento wide Book" w:hAnsi="Novecento wide Book" w:cs="Novecento wide Book"/>
      <w:color w:val="000000"/>
      <w:sz w:val="24"/>
      <w:szCs w:val="24"/>
    </w:rPr>
  </w:style>
  <w:style w:type="paragraph" w:styleId="Textodebalo">
    <w:name w:val="Balloon Text"/>
    <w:basedOn w:val="Normal"/>
    <w:link w:val="TextodebaloChar"/>
    <w:uiPriority w:val="99"/>
    <w:semiHidden/>
    <w:unhideWhenUsed/>
    <w:rsid w:val="002C4ED4"/>
    <w:rPr>
      <w:rFonts w:ascii="Tahoma" w:hAnsi="Tahoma" w:cs="Tahoma"/>
      <w:sz w:val="16"/>
      <w:szCs w:val="16"/>
    </w:rPr>
  </w:style>
  <w:style w:type="character" w:customStyle="1" w:styleId="TextodebaloChar">
    <w:name w:val="Texto de balão Char"/>
    <w:basedOn w:val="Fontepargpadro"/>
    <w:link w:val="Textodebalo"/>
    <w:uiPriority w:val="99"/>
    <w:semiHidden/>
    <w:rsid w:val="002C4ED4"/>
    <w:rPr>
      <w:rFonts w:ascii="Tahoma" w:hAnsi="Tahoma" w:cs="Tahoma"/>
      <w:sz w:val="16"/>
      <w:szCs w:val="16"/>
    </w:rPr>
  </w:style>
  <w:style w:type="paragraph" w:styleId="NormalWeb">
    <w:name w:val="Normal (Web)"/>
    <w:basedOn w:val="Normal"/>
    <w:uiPriority w:val="99"/>
    <w:unhideWhenUsed/>
    <w:rsid w:val="00A63FA4"/>
    <w:pPr>
      <w:spacing w:before="100" w:beforeAutospacing="1" w:after="100" w:afterAutospacing="1"/>
    </w:pPr>
    <w:rPr>
      <w:sz w:val="24"/>
      <w:szCs w:val="24"/>
    </w:rPr>
  </w:style>
  <w:style w:type="character" w:customStyle="1" w:styleId="apple-converted-space">
    <w:name w:val="apple-converted-space"/>
    <w:basedOn w:val="Fontepargpadro"/>
    <w:rsid w:val="00A63FA4"/>
  </w:style>
  <w:style w:type="character" w:styleId="Hyperlink">
    <w:name w:val="Hyperlink"/>
    <w:basedOn w:val="Fontepargpadro"/>
    <w:uiPriority w:val="99"/>
    <w:unhideWhenUsed/>
    <w:rsid w:val="00F73BE3"/>
    <w:rPr>
      <w:color w:val="0000FF"/>
      <w:u w:val="single"/>
    </w:rPr>
  </w:style>
  <w:style w:type="paragraph" w:styleId="Textodenotaderodap">
    <w:name w:val="footnote text"/>
    <w:basedOn w:val="Normal"/>
    <w:link w:val="TextodenotaderodapChar"/>
    <w:uiPriority w:val="99"/>
    <w:semiHidden/>
    <w:unhideWhenUsed/>
    <w:rsid w:val="00F73BE3"/>
    <w:rPr>
      <w:rFonts w:asciiTheme="minorHAnsi" w:eastAsiaTheme="minorHAnsi" w:hAnsiTheme="minorHAnsi" w:cstheme="minorBidi"/>
      <w:lang w:eastAsia="en-US"/>
    </w:rPr>
  </w:style>
  <w:style w:type="character" w:customStyle="1" w:styleId="TextodenotaderodapChar">
    <w:name w:val="Texto de nota de rodapé Char"/>
    <w:basedOn w:val="Fontepargpadro"/>
    <w:link w:val="Textodenotaderodap"/>
    <w:uiPriority w:val="99"/>
    <w:semiHidden/>
    <w:rsid w:val="00F73BE3"/>
    <w:rPr>
      <w:sz w:val="20"/>
      <w:szCs w:val="20"/>
    </w:rPr>
  </w:style>
  <w:style w:type="character" w:styleId="Refdenotaderodap">
    <w:name w:val="footnote reference"/>
    <w:basedOn w:val="Fontepargpadro"/>
    <w:uiPriority w:val="99"/>
    <w:semiHidden/>
    <w:unhideWhenUsed/>
    <w:rsid w:val="00F73BE3"/>
    <w:rPr>
      <w:vertAlign w:val="superscript"/>
    </w:rPr>
  </w:style>
  <w:style w:type="paragraph" w:styleId="PargrafodaLista">
    <w:name w:val="List Paragraph"/>
    <w:basedOn w:val="Normal"/>
    <w:link w:val="PargrafodaListaChar"/>
    <w:uiPriority w:val="34"/>
    <w:qFormat/>
    <w:rsid w:val="003972D4"/>
    <w:pPr>
      <w:spacing w:after="200" w:line="276" w:lineRule="auto"/>
      <w:ind w:left="720"/>
      <w:contextualSpacing/>
    </w:pPr>
    <w:rPr>
      <w:rFonts w:ascii="Calibri" w:hAnsi="Calibri"/>
      <w:sz w:val="22"/>
      <w:szCs w:val="22"/>
      <w:lang w:val="en-US" w:eastAsia="en-US"/>
    </w:rPr>
  </w:style>
  <w:style w:type="character" w:customStyle="1" w:styleId="PargrafodaListaChar">
    <w:name w:val="Parágrafo da Lista Char"/>
    <w:link w:val="PargrafodaLista"/>
    <w:uiPriority w:val="34"/>
    <w:locked/>
    <w:rsid w:val="003972D4"/>
    <w:rPr>
      <w:rFonts w:ascii="Calibri" w:eastAsia="Times New Roman" w:hAnsi="Calibri" w:cs="Times New Roman"/>
      <w:lang w:val="en-US"/>
    </w:rPr>
  </w:style>
  <w:style w:type="character" w:styleId="Forte">
    <w:name w:val="Strong"/>
    <w:basedOn w:val="Fontepargpadro"/>
    <w:uiPriority w:val="22"/>
    <w:qFormat/>
    <w:rsid w:val="0069183E"/>
    <w:rPr>
      <w:b/>
      <w:bCs/>
    </w:rPr>
  </w:style>
  <w:style w:type="character" w:styleId="nfase">
    <w:name w:val="Emphasis"/>
    <w:basedOn w:val="Fontepargpadro"/>
    <w:uiPriority w:val="20"/>
    <w:qFormat/>
    <w:rsid w:val="003B6EFC"/>
    <w:rPr>
      <w:i/>
      <w:iCs/>
    </w:rPr>
  </w:style>
  <w:style w:type="table" w:customStyle="1" w:styleId="SombreamentoClaro1">
    <w:name w:val="Sombreamento Claro1"/>
    <w:basedOn w:val="Tabelanormal"/>
    <w:uiPriority w:val="60"/>
    <w:rsid w:val="0043038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fontstyle01">
    <w:name w:val="fontstyle01"/>
    <w:basedOn w:val="Fontepargpadro"/>
    <w:rsid w:val="007D2046"/>
    <w:rPr>
      <w:rFonts w:ascii="Arial" w:hAnsi="Arial" w:cs="Arial" w:hint="default"/>
      <w:b w:val="0"/>
      <w:bCs w:val="0"/>
      <w:i w:val="0"/>
      <w:iCs w:val="0"/>
      <w:color w:val="000000"/>
      <w:sz w:val="22"/>
      <w:szCs w:val="22"/>
    </w:rPr>
  </w:style>
  <w:style w:type="table" w:customStyle="1" w:styleId="TabelaSimples31">
    <w:name w:val="Tabela Simples 31"/>
    <w:basedOn w:val="Tabelanormal"/>
    <w:uiPriority w:val="43"/>
    <w:rsid w:val="002D016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acomgrade">
    <w:name w:val="Table Grid"/>
    <w:basedOn w:val="Tabelanormal"/>
    <w:uiPriority w:val="59"/>
    <w:rsid w:val="004C79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Lista21">
    <w:name w:val="Tabela de Lista 21"/>
    <w:basedOn w:val="Tabelanormal"/>
    <w:uiPriority w:val="47"/>
    <w:rsid w:val="00F11FA9"/>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rio">
    <w:name w:val="annotation reference"/>
    <w:basedOn w:val="Fontepargpadro"/>
    <w:uiPriority w:val="99"/>
    <w:semiHidden/>
    <w:unhideWhenUsed/>
    <w:rsid w:val="00C920B3"/>
    <w:rPr>
      <w:sz w:val="16"/>
      <w:szCs w:val="16"/>
    </w:rPr>
  </w:style>
  <w:style w:type="paragraph" w:styleId="Textodecomentrio">
    <w:name w:val="annotation text"/>
    <w:basedOn w:val="Normal"/>
    <w:link w:val="TextodecomentrioChar"/>
    <w:uiPriority w:val="99"/>
    <w:semiHidden/>
    <w:unhideWhenUsed/>
    <w:rsid w:val="00C920B3"/>
  </w:style>
  <w:style w:type="character" w:customStyle="1" w:styleId="TextodecomentrioChar">
    <w:name w:val="Texto de comentário Char"/>
    <w:basedOn w:val="Fontepargpadro"/>
    <w:link w:val="Textodecomentrio"/>
    <w:uiPriority w:val="99"/>
    <w:semiHidden/>
    <w:rsid w:val="00C920B3"/>
    <w:rPr>
      <w:rFonts w:ascii="Times New Roman" w:eastAsia="Times New Roman" w:hAnsi="Times New Roman" w:cs="Times New Roman"/>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C920B3"/>
    <w:rPr>
      <w:b/>
      <w:bCs/>
    </w:rPr>
  </w:style>
  <w:style w:type="character" w:customStyle="1" w:styleId="AssuntodocomentrioChar">
    <w:name w:val="Assunto do comentário Char"/>
    <w:basedOn w:val="TextodecomentrioChar"/>
    <w:link w:val="Assuntodocomentrio"/>
    <w:uiPriority w:val="99"/>
    <w:semiHidden/>
    <w:rsid w:val="00C920B3"/>
    <w:rPr>
      <w:rFonts w:ascii="Times New Roman" w:eastAsia="Times New Roman" w:hAnsi="Times New Roman" w:cs="Times New Roman"/>
      <w:b/>
      <w:bCs/>
      <w:sz w:val="20"/>
      <w:szCs w:val="20"/>
      <w:lang w:eastAsia="pt-BR"/>
    </w:rPr>
  </w:style>
  <w:style w:type="paragraph" w:styleId="Reviso">
    <w:name w:val="Revision"/>
    <w:hidden/>
    <w:uiPriority w:val="99"/>
    <w:semiHidden/>
    <w:rsid w:val="00F95B50"/>
  </w:style>
  <w:style w:type="character" w:customStyle="1" w:styleId="grame">
    <w:name w:val="grame"/>
    <w:basedOn w:val="Fontepargpadro"/>
    <w:rsid w:val="003E0592"/>
  </w:style>
  <w:style w:type="paragraph" w:styleId="Legenda">
    <w:name w:val="caption"/>
    <w:basedOn w:val="Normal"/>
    <w:next w:val="Normal"/>
    <w:uiPriority w:val="35"/>
    <w:unhideWhenUsed/>
    <w:qFormat/>
    <w:rsid w:val="00206B3F"/>
    <w:pPr>
      <w:spacing w:after="200"/>
    </w:pPr>
    <w:rPr>
      <w:i/>
      <w:iCs/>
      <w:color w:val="1F497D" w:themeColor="text2"/>
      <w:sz w:val="18"/>
      <w:szCs w:val="18"/>
    </w:rPr>
  </w:style>
  <w:style w:type="character" w:customStyle="1" w:styleId="highlight">
    <w:name w:val="highlight"/>
    <w:basedOn w:val="Fontepargpadro"/>
    <w:rsid w:val="00C0045C"/>
  </w:style>
  <w:style w:type="paragraph" w:styleId="SemEspaamento">
    <w:name w:val="No Spacing"/>
    <w:link w:val="SemEspaamentoChar"/>
    <w:uiPriority w:val="1"/>
    <w:qFormat/>
    <w:rsid w:val="00B4215D"/>
    <w:rPr>
      <w:rFonts w:ascii="Calibri" w:hAnsi="Calibri"/>
    </w:rPr>
  </w:style>
  <w:style w:type="character" w:customStyle="1" w:styleId="SemEspaamentoChar">
    <w:name w:val="Sem Espaçamento Char"/>
    <w:link w:val="SemEspaamento"/>
    <w:uiPriority w:val="1"/>
    <w:rsid w:val="00B4215D"/>
    <w:rPr>
      <w:rFonts w:ascii="Calibri" w:eastAsia="Times New Roman" w:hAnsi="Calibri" w:cs="Times New Roman"/>
      <w:lang w:eastAsia="pt-BR"/>
    </w:rPr>
  </w:style>
  <w:style w:type="character" w:customStyle="1" w:styleId="Ttulo1Char">
    <w:name w:val="Título 1 Char"/>
    <w:basedOn w:val="Fontepargpadro"/>
    <w:link w:val="Ttulo1"/>
    <w:uiPriority w:val="9"/>
    <w:rsid w:val="00335136"/>
    <w:rPr>
      <w:rFonts w:asciiTheme="majorHAnsi" w:eastAsiaTheme="majorEastAsia" w:hAnsiTheme="majorHAnsi" w:cstheme="majorBidi"/>
      <w:color w:val="365F91" w:themeColor="accent1" w:themeShade="BF"/>
      <w:sz w:val="32"/>
      <w:szCs w:val="32"/>
      <w:lang w:eastAsia="pt-BR"/>
    </w:rPr>
  </w:style>
  <w:style w:type="character" w:customStyle="1" w:styleId="Ttulo2Char">
    <w:name w:val="Título 2 Char"/>
    <w:basedOn w:val="Fontepargpadro"/>
    <w:link w:val="Ttulo2"/>
    <w:uiPriority w:val="9"/>
    <w:rsid w:val="00335136"/>
    <w:rPr>
      <w:rFonts w:asciiTheme="majorHAnsi" w:eastAsiaTheme="majorEastAsia" w:hAnsiTheme="majorHAnsi" w:cstheme="majorBidi"/>
      <w:color w:val="365F91" w:themeColor="accent1" w:themeShade="BF"/>
      <w:sz w:val="26"/>
      <w:szCs w:val="26"/>
      <w:lang w:eastAsia="pt-BR"/>
    </w:rPr>
  </w:style>
  <w:style w:type="character" w:customStyle="1" w:styleId="Ttulo3Char">
    <w:name w:val="Título 3 Char"/>
    <w:basedOn w:val="Fontepargpadro"/>
    <w:link w:val="Ttulo3"/>
    <w:uiPriority w:val="9"/>
    <w:rsid w:val="00335136"/>
    <w:rPr>
      <w:rFonts w:asciiTheme="majorHAnsi" w:eastAsiaTheme="majorEastAsia" w:hAnsiTheme="majorHAnsi" w:cstheme="majorBidi"/>
      <w:color w:val="243F60" w:themeColor="accent1" w:themeShade="7F"/>
      <w:sz w:val="24"/>
      <w:szCs w:val="24"/>
      <w:lang w:eastAsia="pt-BR"/>
    </w:rPr>
  </w:style>
  <w:style w:type="paragraph" w:styleId="CabealhodoSumrio">
    <w:name w:val="TOC Heading"/>
    <w:basedOn w:val="Ttulo1"/>
    <w:next w:val="Normal"/>
    <w:uiPriority w:val="39"/>
    <w:unhideWhenUsed/>
    <w:qFormat/>
    <w:rsid w:val="00335136"/>
    <w:pPr>
      <w:spacing w:line="259" w:lineRule="auto"/>
      <w:outlineLvl w:val="9"/>
    </w:pPr>
  </w:style>
  <w:style w:type="paragraph" w:styleId="Sumrio1">
    <w:name w:val="toc 1"/>
    <w:basedOn w:val="Normal"/>
    <w:next w:val="Normal"/>
    <w:autoRedefine/>
    <w:uiPriority w:val="39"/>
    <w:unhideWhenUsed/>
    <w:rsid w:val="006A3CC2"/>
    <w:pPr>
      <w:tabs>
        <w:tab w:val="left" w:pos="400"/>
        <w:tab w:val="right" w:leader="dot" w:pos="9344"/>
      </w:tabs>
      <w:spacing w:after="100" w:line="360" w:lineRule="auto"/>
      <w:ind w:left="284" w:hanging="284"/>
    </w:pPr>
  </w:style>
  <w:style w:type="paragraph" w:styleId="Sumrio2">
    <w:name w:val="toc 2"/>
    <w:basedOn w:val="Normal"/>
    <w:next w:val="Normal"/>
    <w:autoRedefine/>
    <w:uiPriority w:val="39"/>
    <w:unhideWhenUsed/>
    <w:rsid w:val="000D7385"/>
    <w:pPr>
      <w:tabs>
        <w:tab w:val="left" w:pos="880"/>
        <w:tab w:val="right" w:leader="dot" w:pos="9344"/>
      </w:tabs>
      <w:spacing w:after="100"/>
      <w:ind w:left="709" w:hanging="509"/>
    </w:pPr>
  </w:style>
  <w:style w:type="paragraph" w:styleId="Sumrio3">
    <w:name w:val="toc 3"/>
    <w:basedOn w:val="Normal"/>
    <w:next w:val="Normal"/>
    <w:autoRedefine/>
    <w:uiPriority w:val="39"/>
    <w:unhideWhenUsed/>
    <w:rsid w:val="000D7385"/>
    <w:pPr>
      <w:tabs>
        <w:tab w:val="left" w:pos="1320"/>
        <w:tab w:val="right" w:leader="dot" w:pos="9344"/>
      </w:tabs>
      <w:spacing w:after="100"/>
      <w:ind w:left="1134" w:hanging="734"/>
    </w:pPr>
  </w:style>
  <w:style w:type="paragraph" w:styleId="ndicedeilustraes">
    <w:name w:val="table of figures"/>
    <w:basedOn w:val="Normal"/>
    <w:next w:val="Normal"/>
    <w:uiPriority w:val="99"/>
    <w:unhideWhenUsed/>
    <w:rsid w:val="00EC1D0D"/>
    <w:rPr>
      <w:rFonts w:ascii="Arial" w:hAnsi="Arial"/>
    </w:rPr>
  </w:style>
  <w:style w:type="character" w:customStyle="1" w:styleId="Ttulo4Char">
    <w:name w:val="Título 4 Char"/>
    <w:basedOn w:val="Fontepargpadro"/>
    <w:link w:val="Ttulo4"/>
    <w:uiPriority w:val="9"/>
    <w:rsid w:val="00EE7967"/>
    <w:rPr>
      <w:rFonts w:asciiTheme="majorHAnsi" w:eastAsiaTheme="majorEastAsia" w:hAnsiTheme="majorHAnsi" w:cstheme="majorBidi"/>
      <w:i/>
      <w:iCs/>
      <w:color w:val="365F91" w:themeColor="accent1" w:themeShade="BF"/>
      <w:sz w:val="20"/>
      <w:szCs w:val="20"/>
      <w:lang w:eastAsia="pt-BR"/>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NormalTable0"/>
    <w:tblPr>
      <w:tblStyleRowBandSize w:val="1"/>
      <w:tblStyleColBandSize w:val="1"/>
      <w:tblCellMar>
        <w:top w:w="100" w:type="dxa"/>
        <w:left w:w="100" w:type="dxa"/>
        <w:bottom w:w="100" w:type="dxa"/>
        <w:right w:w="100" w:type="dxa"/>
      </w:tblCellMar>
    </w:tblPr>
  </w:style>
  <w:style w:type="table" w:customStyle="1" w:styleId="a0">
    <w:basedOn w:val="NormalTable0"/>
    <w:rPr>
      <w:color w:val="000000"/>
    </w:rPr>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1">
    <w:basedOn w:val="NormalTable0"/>
    <w:tblPr>
      <w:tblStyleRowBandSize w:val="1"/>
      <w:tblStyleColBandSize w:val="1"/>
      <w:tblCellMar>
        <w:top w:w="100" w:type="dxa"/>
        <w:left w:w="100" w:type="dxa"/>
        <w:bottom w:w="100" w:type="dxa"/>
        <w:right w:w="100" w:type="dxa"/>
      </w:tblCellMar>
    </w:tblPr>
  </w:style>
  <w:style w:type="table" w:customStyle="1" w:styleId="a2">
    <w:basedOn w:val="NormalTable0"/>
    <w:rPr>
      <w:color w:val="000000"/>
    </w:rPr>
    <w:tblPr>
      <w:tblStyleRowBandSize w:val="1"/>
      <w:tblStyleColBandSize w:val="1"/>
      <w:tblCellMar>
        <w:top w:w="100" w:type="dxa"/>
        <w:left w:w="100" w:type="dxa"/>
        <w:bottom w:w="100" w:type="dxa"/>
        <w:right w:w="100" w:type="dxa"/>
      </w:tblCellMar>
    </w:tblPr>
  </w:style>
  <w:style w:type="table" w:customStyle="1" w:styleId="a3">
    <w:basedOn w:val="NormalTable0"/>
    <w:rPr>
      <w:color w:val="000000"/>
    </w:rPr>
    <w:tblPr>
      <w:tblStyleRowBandSize w:val="1"/>
      <w:tblStyleColBandSize w:val="1"/>
      <w:tblCellMar>
        <w:top w:w="100" w:type="dxa"/>
        <w:left w:w="100" w:type="dxa"/>
        <w:bottom w:w="100" w:type="dxa"/>
        <w:right w:w="100"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NormalTable0"/>
    <w:tblPr>
      <w:tblStyleRowBandSize w:val="1"/>
      <w:tblStyleColBandSize w:val="1"/>
      <w:tblCellMar>
        <w:left w:w="115" w:type="dxa"/>
        <w:right w:w="115" w:type="dxa"/>
      </w:tblCellMar>
    </w:tblPr>
  </w:style>
  <w:style w:type="table" w:customStyle="1" w:styleId="a5">
    <w:basedOn w:val="NormalTable0"/>
    <w:rPr>
      <w:color w:val="000000"/>
    </w:rPr>
    <w:tblPr>
      <w:tblStyleRowBandSize w:val="1"/>
      <w:tblStyleColBandSize w:val="1"/>
      <w:tblCellMar>
        <w:left w:w="108" w:type="dxa"/>
        <w:right w:w="108" w:type="dxa"/>
      </w:tblCellMar>
    </w:tblPr>
  </w:style>
  <w:style w:type="table" w:customStyle="1" w:styleId="a6">
    <w:basedOn w:val="NormalTable0"/>
    <w:rPr>
      <w:color w:val="000000"/>
    </w:rPr>
    <w:tblPr>
      <w:tblStyleRowBandSize w:val="1"/>
      <w:tblStyleColBandSize w:val="1"/>
      <w:tblCellMar>
        <w:left w:w="108" w:type="dxa"/>
        <w:right w:w="108" w:type="dxa"/>
      </w:tblCellMar>
    </w:tblPr>
  </w:style>
  <w:style w:type="table" w:customStyle="1" w:styleId="a7">
    <w:basedOn w:val="TableNormal0"/>
    <w:rPr>
      <w:color w:val="000000"/>
    </w:rPr>
    <w:tblPr>
      <w:tblStyleRowBandSize w:val="1"/>
      <w:tblStyleColBandSize w:val="1"/>
      <w:tblCellMar>
        <w:top w:w="100" w:type="dxa"/>
        <w:left w:w="108" w:type="dxa"/>
        <w:bottom w:w="100" w:type="dxa"/>
        <w:right w:w="108" w:type="dxa"/>
      </w:tblCellMar>
    </w:tblPr>
  </w:style>
  <w:style w:type="table" w:customStyle="1" w:styleId="a8">
    <w:basedOn w:val="TableNormal0"/>
    <w:rPr>
      <w:color w:val="000000"/>
    </w:rPr>
    <w:tblPr>
      <w:tblStyleRowBandSize w:val="1"/>
      <w:tblStyleColBandSize w:val="1"/>
      <w:tblCellMar>
        <w:top w:w="100" w:type="dxa"/>
        <w:left w:w="108" w:type="dxa"/>
        <w:bottom w:w="100"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9">
    <w:basedOn w:val="TableNormal0"/>
    <w:rPr>
      <w:color w:val="000000"/>
    </w:rPr>
    <w:tblPr>
      <w:tblStyleRowBandSize w:val="1"/>
      <w:tblStyleColBandSize w:val="1"/>
      <w:tblCellMar>
        <w:top w:w="100" w:type="dxa"/>
        <w:left w:w="108" w:type="dxa"/>
        <w:bottom w:w="100"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a">
    <w:basedOn w:val="TableNormal0"/>
    <w:rPr>
      <w:color w:val="000000"/>
    </w:rPr>
    <w:tblPr>
      <w:tblStyleRowBandSize w:val="1"/>
      <w:tblStyleColBandSize w:val="1"/>
      <w:tblCellMar>
        <w:top w:w="100" w:type="dxa"/>
        <w:left w:w="108" w:type="dxa"/>
        <w:bottom w:w="100" w:type="dxa"/>
        <w:right w:w="108" w:type="dxa"/>
      </w:tblCellMar>
    </w:tblPr>
  </w:style>
  <w:style w:type="table" w:customStyle="1" w:styleId="ab">
    <w:basedOn w:val="TableNormal0"/>
    <w:rPr>
      <w:color w:val="000000"/>
    </w:rPr>
    <w:tblPr>
      <w:tblStyleRowBandSize w:val="1"/>
      <w:tblStyleColBandSize w:val="1"/>
      <w:tblCellMar>
        <w:top w:w="100" w:type="dxa"/>
        <w:left w:w="108" w:type="dxa"/>
        <w:bottom w:w="10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file:///Z:\DEGAT\2024\Concess&#227;o%20Florestal\POFE-2024\POFE%20-%202024%20FINAL.docx" TargetMode="Externa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yperlink" Target="file:///Z:\DEGAT\2024\Concess&#227;o%20Florestal\POFE-2024\POFE%20-%202024%20FINAL.docx" TargetMode="Externa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hyperlink" Target="https://online.sefaz.am.gov.br/silt/Normas/Legisla%C3%A7%C3%A3o%20Estadual/Lei%20Estadual/Ano%202019/Arquivo/LE%205.054_19.htm" TargetMode="External"/><Relationship Id="rId55" Type="http://schemas.openxmlformats.org/officeDocument/2006/relationships/hyperlink" Target="https://pdfhost.io/v/NKIyOaY84_Microsoft_Word_Plano_Gestao_Mosaico_Apui.pdf"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Z:\DEGAT\2024\Concess&#227;o%20Florestal\POFE-2024\POFE%20-%202024%20FINAL.docx" TargetMode="External"/><Relationship Id="rId29" Type="http://schemas.openxmlformats.org/officeDocument/2006/relationships/image" Target="media/image7.png"/><Relationship Id="rId11" Type="http://schemas.openxmlformats.org/officeDocument/2006/relationships/header" Target="header2.xm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hyperlink" Target="http://legislacao.planalto.gov.br/legisla/legislacao.nsf/Viw_Identificacao/DEC%206.063-2007?OpenDocument" TargetMode="External"/><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hyperlink" Target="file:///Z:\DEGAT\2024\Concess&#227;o%20Florestal\POFE-2024\POFE%20-%202024%20FINAL.docx" TargetMode="Externa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file:///Z:\DEGAT\2024\Concess&#227;o%20Florestal\POFE-2024\POFE%20-%202024%20FINAL.docx" TargetMode="External"/><Relationship Id="rId22" Type="http://schemas.openxmlformats.org/officeDocument/2006/relationships/hyperlink" Target="file:///Z:\DEGAT\2024\Concess&#227;o%20Florestal\POFE-2024\POFE%20-%202024%20FINAL.docx"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hyperlink" Target="https://online.sefaz.am.gov.br/silt/Normas/Legisla%C3%A7%C3%A3o%20Estadual/Lei%20Estadual/Ano%202016/Arquivo/LE%204.415_16.htm" TargetMode="Externa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file:///Z:\DEGAT\2024\Concess&#227;o%20Florestal\POFE-2024\POFE%20-%202024%20FINAL.docx"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theme" Target="theme/theme1.xml"/><Relationship Id="rId20" Type="http://schemas.openxmlformats.org/officeDocument/2006/relationships/hyperlink" Target="file:///Z:\DEGAT\2024\Concess&#227;o%20Florestal\POFE-2024\POFE%20-%202024%20FINAL.docx" TargetMode="External"/><Relationship Id="rId41" Type="http://schemas.openxmlformats.org/officeDocument/2006/relationships/image" Target="media/image19.png"/><Relationship Id="rId54" Type="http://schemas.openxmlformats.org/officeDocument/2006/relationships/hyperlink" Target="http://www.florestal.gov.br/resolucoes-sfb/1867-resolucao-sfb-n-2-2007-cnfp"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Z:\DEGAT\2024\Concess&#227;o%20Florestal\POFE-2024\POFE%20-%202024%20FINAL.docx" TargetMode="External"/><Relationship Id="rId23" Type="http://schemas.openxmlformats.org/officeDocument/2006/relationships/hyperlink" Target="file:///Z:\DEGAT\2024\Concess&#227;o%20Florestal\POFE-2024\POFE%20-%202024%20FINAL.docx" TargetMode="Externa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footer" Target="footer3.xml"/><Relationship Id="rId10"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hyperlink" Target="http://legislacao.planalto.gov.br/legisla/legislacao.nsf/Viw_Identificacao/DEC%205.975-2006?OpenDocument"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9.png"/></Relationships>
</file>

<file path=word/_rels/header3.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lpqKMxHGqgxMaKldwMKvyqgnQw==">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87B2084-6D2E-427D-86AE-8E3D32BC7D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9982</Words>
  <Characters>53904</Characters>
  <Application>Microsoft Office Word</Application>
  <DocSecurity>0</DocSecurity>
  <Lines>449</Lines>
  <Paragraphs>127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Jamile Alves Araújo</cp:lastModifiedBy>
  <cp:revision>2</cp:revision>
  <cp:lastPrinted>2024-10-18T13:30:00Z</cp:lastPrinted>
  <dcterms:created xsi:type="dcterms:W3CDTF">2024-11-21T19:42:00Z</dcterms:created>
  <dcterms:modified xsi:type="dcterms:W3CDTF">2024-11-21T19:42:00Z</dcterms:modified>
</cp:coreProperties>
</file>